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D4" w:rsidRDefault="00DB20D4" w:rsidP="00DB20D4">
      <w:pPr>
        <w:keepNext/>
        <w:spacing w:line="360" w:lineRule="auto"/>
        <w:rPr>
          <w:b/>
          <w:bCs/>
        </w:rPr>
      </w:pPr>
    </w:p>
    <w:p w:rsidR="009564A8" w:rsidRDefault="009564A8" w:rsidP="009101DF">
      <w:pPr>
        <w:keepNext/>
        <w:spacing w:line="360" w:lineRule="auto"/>
        <w:jc w:val="center"/>
        <w:rPr>
          <w:b/>
          <w:bCs/>
        </w:rPr>
      </w:pPr>
    </w:p>
    <w:p w:rsidR="009564A8" w:rsidRDefault="009564A8" w:rsidP="009101DF">
      <w:pPr>
        <w:keepNext/>
        <w:spacing w:line="360" w:lineRule="auto"/>
        <w:jc w:val="center"/>
        <w:rPr>
          <w:b/>
          <w:bCs/>
        </w:rPr>
      </w:pPr>
    </w:p>
    <w:p w:rsidR="009564A8" w:rsidRDefault="009564A8" w:rsidP="009101DF">
      <w:pPr>
        <w:keepNext/>
        <w:spacing w:line="360" w:lineRule="auto"/>
        <w:jc w:val="center"/>
        <w:rPr>
          <w:b/>
          <w:bCs/>
        </w:rPr>
      </w:pPr>
    </w:p>
    <w:p w:rsidR="009101DF" w:rsidRPr="00DC3547" w:rsidRDefault="009101DF" w:rsidP="009101DF">
      <w:pPr>
        <w:keepNext/>
        <w:spacing w:line="360" w:lineRule="auto"/>
        <w:jc w:val="center"/>
        <w:rPr>
          <w:b/>
          <w:bCs/>
          <w:sz w:val="32"/>
          <w:szCs w:val="32"/>
        </w:rPr>
      </w:pPr>
      <w:r w:rsidRPr="00DC3547">
        <w:rPr>
          <w:b/>
          <w:bCs/>
          <w:sz w:val="32"/>
          <w:szCs w:val="32"/>
        </w:rPr>
        <w:t>Państwowy Powiatowy Inspektor Sanitarny w Rudzie Śląskiej</w:t>
      </w:r>
    </w:p>
    <w:p w:rsidR="00B931FD" w:rsidRDefault="00B931FD" w:rsidP="009101DF">
      <w:pPr>
        <w:keepNext/>
        <w:spacing w:line="360" w:lineRule="auto"/>
        <w:jc w:val="center"/>
        <w:rPr>
          <w:b/>
          <w:bCs/>
          <w:sz w:val="32"/>
          <w:szCs w:val="32"/>
        </w:rPr>
      </w:pPr>
    </w:p>
    <w:p w:rsidR="00B931FD" w:rsidRDefault="00B931FD" w:rsidP="009101DF">
      <w:pPr>
        <w:keepNext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noProof/>
          <w:lang w:eastAsia="pl-PL"/>
        </w:rPr>
        <w:drawing>
          <wp:inline distT="0" distB="0" distL="0" distR="0" wp14:anchorId="6E94552F" wp14:editId="4B94E888">
            <wp:extent cx="5667375" cy="40100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FD" w:rsidRDefault="00B931FD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9564A8" w:rsidRDefault="009564A8" w:rsidP="00B931FD">
      <w:pPr>
        <w:keepNext/>
        <w:spacing w:line="360" w:lineRule="auto"/>
        <w:rPr>
          <w:b/>
          <w:bCs/>
          <w:sz w:val="32"/>
          <w:szCs w:val="32"/>
        </w:rPr>
      </w:pPr>
    </w:p>
    <w:p w:rsidR="00DB20D4" w:rsidRDefault="00DB20D4" w:rsidP="009101DF">
      <w:pPr>
        <w:keepNext/>
        <w:spacing w:line="360" w:lineRule="auto"/>
        <w:jc w:val="center"/>
        <w:rPr>
          <w:b/>
          <w:bCs/>
          <w:sz w:val="32"/>
          <w:szCs w:val="32"/>
        </w:rPr>
      </w:pPr>
    </w:p>
    <w:p w:rsidR="009101DF" w:rsidRPr="00910992" w:rsidRDefault="009101DF" w:rsidP="009101DF">
      <w:pPr>
        <w:keepNext/>
        <w:spacing w:line="360" w:lineRule="auto"/>
        <w:jc w:val="center"/>
        <w:rPr>
          <w:sz w:val="32"/>
          <w:szCs w:val="32"/>
        </w:rPr>
      </w:pPr>
      <w:r w:rsidRPr="00910992">
        <w:rPr>
          <w:b/>
          <w:bCs/>
          <w:sz w:val="32"/>
          <w:szCs w:val="32"/>
        </w:rPr>
        <w:lastRenderedPageBreak/>
        <w:t>RUDA ŚLĄSKA</w:t>
      </w:r>
    </w:p>
    <w:p w:rsidR="009101DF" w:rsidRPr="00910992" w:rsidRDefault="009101DF" w:rsidP="009101DF">
      <w:pPr>
        <w:keepNext/>
        <w:spacing w:line="360" w:lineRule="auto"/>
        <w:jc w:val="center"/>
        <w:rPr>
          <w:sz w:val="32"/>
          <w:szCs w:val="32"/>
        </w:rPr>
      </w:pPr>
    </w:p>
    <w:p w:rsidR="009101DF" w:rsidRPr="00910992" w:rsidRDefault="009101DF" w:rsidP="009101DF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 xml:space="preserve">Liczba ludności zaopatrywanej w wodę ok. </w:t>
      </w:r>
      <w:r>
        <w:rPr>
          <w:rFonts w:eastAsia="Calibri"/>
          <w:b/>
          <w:i/>
          <w:lang w:eastAsia="en-US"/>
        </w:rPr>
        <w:t>139 219</w:t>
      </w:r>
    </w:p>
    <w:p w:rsidR="009101DF" w:rsidRPr="00910992" w:rsidRDefault="009101DF" w:rsidP="009101DF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 xml:space="preserve">Zaopatrzenie w wodę – ilość rozprowadzanej wody: ok. </w:t>
      </w:r>
      <w:r w:rsidRPr="00910992">
        <w:rPr>
          <w:rFonts w:eastAsia="Calibri"/>
          <w:b/>
          <w:i/>
          <w:lang w:eastAsia="en-US"/>
        </w:rPr>
        <w:t>1</w:t>
      </w:r>
      <w:r>
        <w:rPr>
          <w:rFonts w:eastAsia="Calibri"/>
          <w:b/>
          <w:i/>
          <w:lang w:eastAsia="en-US"/>
        </w:rPr>
        <w:t>6</w:t>
      </w:r>
      <w:r w:rsidRPr="00910992">
        <w:rPr>
          <w:rFonts w:eastAsia="Calibri"/>
          <w:b/>
          <w:i/>
          <w:lang w:eastAsia="en-US"/>
        </w:rPr>
        <w:t> </w:t>
      </w:r>
      <w:r>
        <w:rPr>
          <w:rFonts w:eastAsia="Calibri"/>
          <w:b/>
          <w:i/>
          <w:lang w:eastAsia="en-US"/>
        </w:rPr>
        <w:t>0</w:t>
      </w:r>
      <w:r w:rsidRPr="00910992">
        <w:rPr>
          <w:rFonts w:eastAsia="Calibri"/>
          <w:b/>
          <w:i/>
          <w:lang w:eastAsia="en-US"/>
        </w:rPr>
        <w:t>00 m</w:t>
      </w:r>
      <w:r w:rsidRPr="00910992">
        <w:rPr>
          <w:rFonts w:eastAsia="Calibri"/>
          <w:b/>
          <w:i/>
          <w:vertAlign w:val="superscript"/>
          <w:lang w:eastAsia="en-US"/>
        </w:rPr>
        <w:t>3</w:t>
      </w:r>
      <w:r w:rsidRPr="00910992">
        <w:rPr>
          <w:rFonts w:eastAsia="Calibri"/>
          <w:b/>
          <w:i/>
          <w:lang w:eastAsia="en-US"/>
        </w:rPr>
        <w:t xml:space="preserve">/d </w:t>
      </w:r>
    </w:p>
    <w:p w:rsidR="009101DF" w:rsidRPr="009101DF" w:rsidRDefault="009101DF" w:rsidP="009101DF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200" w:line="360" w:lineRule="auto"/>
        <w:jc w:val="both"/>
        <w:rPr>
          <w:rFonts w:eastAsia="Calibri"/>
          <w:i/>
          <w:lang w:eastAsia="en-US"/>
        </w:rPr>
      </w:pPr>
      <w:r w:rsidRPr="00910992">
        <w:rPr>
          <w:rFonts w:eastAsia="Calibri"/>
          <w:i/>
          <w:lang w:eastAsia="en-US"/>
        </w:rPr>
        <w:t>Dystrybutor wody przeznaczonej do spożycia: Przedsiębiorstwo Wodociągów</w:t>
      </w:r>
      <w:r w:rsidRPr="00910992">
        <w:rPr>
          <w:rFonts w:eastAsia="Calibri"/>
          <w:i/>
          <w:lang w:eastAsia="en-US"/>
        </w:rPr>
        <w:br/>
        <w:t xml:space="preserve">i </w:t>
      </w:r>
      <w:r w:rsidRPr="009101DF">
        <w:rPr>
          <w:rFonts w:eastAsia="Calibri"/>
          <w:i/>
          <w:lang w:eastAsia="en-US"/>
        </w:rPr>
        <w:t>Kanalizacji Sp. z o.o., ul. Pokoju 13, 41-709 Ruda Śląska</w:t>
      </w:r>
    </w:p>
    <w:p w:rsidR="00F82951" w:rsidRPr="009101DF" w:rsidRDefault="00F82951" w:rsidP="00F8295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9101DF">
        <w:rPr>
          <w:rFonts w:eastAsia="Calibri"/>
          <w:lang w:eastAsia="en-US"/>
        </w:rPr>
        <w:t xml:space="preserve">Przedsiębiorstwo Wodociągów i Kanalizacji Sp. z o.o., mieszczące się w Rudzie Śląskiej przy ul. Pokoju 13, zaopatruje teren miasta Rudy Śląskiej w wodę przeznaczoną </w:t>
      </w:r>
      <w:r w:rsidR="00B931FD">
        <w:rPr>
          <w:rFonts w:eastAsia="Calibri"/>
          <w:lang w:eastAsia="en-US"/>
        </w:rPr>
        <w:br/>
      </w:r>
      <w:r w:rsidRPr="009101DF">
        <w:rPr>
          <w:rFonts w:eastAsia="Calibri"/>
          <w:lang w:eastAsia="en-US"/>
        </w:rPr>
        <w:t xml:space="preserve">do spożycia w całości zakupioną. </w:t>
      </w:r>
    </w:p>
    <w:p w:rsidR="00F82951" w:rsidRPr="009101DF" w:rsidRDefault="00F82951" w:rsidP="00F82951">
      <w:pPr>
        <w:spacing w:line="360" w:lineRule="auto"/>
        <w:jc w:val="both"/>
        <w:rPr>
          <w:rFonts w:eastAsia="Calibri"/>
          <w:lang w:eastAsia="en-US"/>
        </w:rPr>
      </w:pPr>
      <w:r w:rsidRPr="009101DF">
        <w:rPr>
          <w:rFonts w:eastAsia="Calibri"/>
          <w:lang w:eastAsia="en-US"/>
        </w:rPr>
        <w:t xml:space="preserve">Woda rozprowadzana przez sieć wodociągową pochodzi z sieciowych zbiorników wyrównawczych Mikołów (woda podawana jest z ZUW Goczałkowice, ZUW </w:t>
      </w:r>
      <w:proofErr w:type="spellStart"/>
      <w:r w:rsidRPr="009101DF">
        <w:rPr>
          <w:rFonts w:eastAsia="Calibri"/>
          <w:lang w:eastAsia="en-US"/>
        </w:rPr>
        <w:t>Dziećkowice</w:t>
      </w:r>
      <w:proofErr w:type="spellEnd"/>
      <w:r w:rsidRPr="009101DF">
        <w:rPr>
          <w:rFonts w:eastAsia="Calibri"/>
          <w:lang w:eastAsia="en-US"/>
        </w:rPr>
        <w:t>, SUW Czaniec) należących do Górnośląskiego Prze</w:t>
      </w:r>
      <w:r w:rsidR="007C1E59" w:rsidRPr="009101DF">
        <w:rPr>
          <w:rFonts w:eastAsia="Calibri"/>
          <w:lang w:eastAsia="en-US"/>
        </w:rPr>
        <w:t xml:space="preserve">dsiębiorstwa Wodociągów S.A. </w:t>
      </w:r>
      <w:r w:rsidR="007C1E59" w:rsidRPr="009101DF">
        <w:rPr>
          <w:rFonts w:eastAsia="Calibri"/>
          <w:lang w:eastAsia="en-US"/>
        </w:rPr>
        <w:br/>
      </w:r>
      <w:r w:rsidRPr="009101DF">
        <w:rPr>
          <w:rFonts w:eastAsia="Calibri"/>
          <w:lang w:eastAsia="en-US"/>
        </w:rPr>
        <w:t>w Katowicach.</w:t>
      </w:r>
    </w:p>
    <w:p w:rsidR="00F82951" w:rsidRPr="00E951E2" w:rsidRDefault="00F82951" w:rsidP="00F82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9101DF">
        <w:rPr>
          <w:rFonts w:eastAsia="Times New Roman"/>
          <w:lang w:eastAsia="pl-PL"/>
        </w:rPr>
        <w:t xml:space="preserve">Ujęcia te zlokalizowane są poza terenem nadzorowanym przez Państwowego Powiatowego </w:t>
      </w:r>
      <w:r w:rsidRPr="00E951E2">
        <w:rPr>
          <w:rFonts w:eastAsia="Times New Roman"/>
          <w:lang w:eastAsia="pl-PL"/>
        </w:rPr>
        <w:t>Inspektora Sanitarnego w Rudzie Śląskiej.</w:t>
      </w:r>
    </w:p>
    <w:p w:rsidR="00F82951" w:rsidRPr="00E951E2" w:rsidRDefault="00F82951" w:rsidP="00F829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pl-PL"/>
        </w:rPr>
      </w:pPr>
    </w:p>
    <w:p w:rsidR="009101DF" w:rsidRPr="001319BA" w:rsidRDefault="009101DF" w:rsidP="009101DF">
      <w:pPr>
        <w:spacing w:line="360" w:lineRule="auto"/>
        <w:ind w:firstLine="708"/>
        <w:jc w:val="both"/>
      </w:pPr>
      <w:r w:rsidRPr="00E951E2">
        <w:t>W ramach</w:t>
      </w:r>
      <w:r w:rsidRPr="00D35FD6">
        <w:t xml:space="preserve"> prowadzonego nadzoru i monitoringu jakości wody do spożycia w 2018</w:t>
      </w:r>
      <w:r>
        <w:t xml:space="preserve"> </w:t>
      </w:r>
      <w:r w:rsidRPr="00D35FD6">
        <w:t xml:space="preserve">r. na terenie miasta Ruda Śląska pobrano próbki wody do badań, dla których analiza wykonywana była przez Wojewódzką Stację </w:t>
      </w:r>
      <w:proofErr w:type="spellStart"/>
      <w:r w:rsidRPr="00D35FD6">
        <w:t>Sanitarno</w:t>
      </w:r>
      <w:proofErr w:type="spellEnd"/>
      <w:r w:rsidRPr="00D35FD6">
        <w:t xml:space="preserve"> – Epidemiologiczną w Katowicach </w:t>
      </w:r>
      <w:r w:rsidRPr="00D35FD6">
        <w:br/>
        <w:t xml:space="preserve">ul. Raciborska 39 – Dział Laboratoryjny – Pracownia Badań Mikrobiologicznych Wody, Pracownia Badań Fizykochemicznych Wody, Pracownia Chromatografii Gazowej, </w:t>
      </w:r>
      <w:r w:rsidRPr="001319BA">
        <w:t xml:space="preserve">Pracownia, Pracownia Absorpcyjnej Spektometrii Atomowej. </w:t>
      </w:r>
    </w:p>
    <w:p w:rsidR="009101DF" w:rsidRPr="001319BA" w:rsidRDefault="009101DF" w:rsidP="009101DF">
      <w:pPr>
        <w:spacing w:after="200" w:line="360" w:lineRule="auto"/>
        <w:jc w:val="both"/>
        <w:rPr>
          <w:rFonts w:eastAsia="Calibri"/>
          <w:lang w:eastAsia="en-US"/>
        </w:rPr>
      </w:pPr>
      <w:r w:rsidRPr="001319BA">
        <w:rPr>
          <w:rFonts w:eastAsia="Calibri"/>
          <w:lang w:eastAsia="en-US"/>
        </w:rPr>
        <w:t>Każdorazowo po otrzymaniu informacji z działu laboratoryjnego o przekroczeniach parametrów bakteriologicznych, tutejszy Organ wysyłał do WSSE w Katowicach powiadomienie o przekroczeniach mikrobiologicznych w pobranych próbkach wody.</w:t>
      </w:r>
    </w:p>
    <w:p w:rsidR="00F82951" w:rsidRPr="009101DF" w:rsidRDefault="00F82951" w:rsidP="00F82951">
      <w:pPr>
        <w:spacing w:after="200" w:line="360" w:lineRule="auto"/>
        <w:jc w:val="both"/>
        <w:rPr>
          <w:rFonts w:eastAsia="Calibri"/>
          <w:lang w:eastAsia="en-US"/>
        </w:rPr>
      </w:pPr>
      <w:r w:rsidRPr="009101DF">
        <w:rPr>
          <w:rFonts w:eastAsia="Calibri"/>
          <w:lang w:eastAsia="en-US"/>
        </w:rPr>
        <w:t xml:space="preserve">Wszystkie stwierdzone przekroczenia parametrów mikrobiologicznych i fizykochemicznych </w:t>
      </w:r>
      <w:r w:rsidRPr="009101DF">
        <w:rPr>
          <w:rFonts w:eastAsia="Calibri"/>
          <w:lang w:eastAsia="en-US"/>
        </w:rPr>
        <w:br/>
        <w:t>w pobranych próbkach wody były regularnie raportowane do WSSE w Katowicach.</w:t>
      </w:r>
    </w:p>
    <w:p w:rsidR="00910992" w:rsidRPr="00CB7F48" w:rsidRDefault="00910992" w:rsidP="00910992">
      <w:pPr>
        <w:spacing w:line="360" w:lineRule="auto"/>
        <w:jc w:val="both"/>
      </w:pPr>
    </w:p>
    <w:p w:rsidR="00910992" w:rsidRPr="00CB7F48" w:rsidRDefault="00910992" w:rsidP="00910992">
      <w:pPr>
        <w:spacing w:line="360" w:lineRule="auto"/>
        <w:jc w:val="both"/>
      </w:pPr>
      <w:r w:rsidRPr="00CB7F48">
        <w:t>W 201</w:t>
      </w:r>
      <w:r w:rsidR="009101DF" w:rsidRPr="00CB7F48">
        <w:t xml:space="preserve">8 </w:t>
      </w:r>
      <w:r w:rsidRPr="00CB7F48">
        <w:t xml:space="preserve">r. na bieżąco przeprowadzano analizy jakości wody – wydając orzeczenia o jakości wody do spożycia. </w:t>
      </w:r>
    </w:p>
    <w:p w:rsidR="009101DF" w:rsidRPr="0033422A" w:rsidRDefault="009101DF" w:rsidP="009101DF">
      <w:pPr>
        <w:spacing w:line="360" w:lineRule="auto"/>
        <w:jc w:val="both"/>
      </w:pPr>
      <w:r w:rsidRPr="007F1378">
        <w:lastRenderedPageBreak/>
        <w:t>Łącznie dla próbek pobranych od dnia 01.01.2018</w:t>
      </w:r>
      <w:r>
        <w:t xml:space="preserve"> </w:t>
      </w:r>
      <w:r w:rsidRPr="007F1378">
        <w:t>r. do 31.12.2018</w:t>
      </w:r>
      <w:r>
        <w:t xml:space="preserve"> </w:t>
      </w:r>
      <w:r w:rsidRPr="007F1378">
        <w:t xml:space="preserve">r. wydano 220 orzeczeń </w:t>
      </w:r>
      <w:r w:rsidRPr="007F1378">
        <w:br/>
      </w:r>
      <w:r w:rsidRPr="0033422A">
        <w:t>o jakości wody do spożycia, w tym:</w:t>
      </w:r>
    </w:p>
    <w:p w:rsidR="009101DF" w:rsidRPr="0033422A" w:rsidRDefault="009101DF" w:rsidP="009101DF">
      <w:pPr>
        <w:numPr>
          <w:ilvl w:val="0"/>
          <w:numId w:val="2"/>
        </w:numPr>
        <w:spacing w:line="360" w:lineRule="auto"/>
        <w:jc w:val="both"/>
      </w:pPr>
      <w:r w:rsidRPr="0033422A">
        <w:t>18 – orzeczeń z brakiem przydatności wody do spożycia,</w:t>
      </w:r>
    </w:p>
    <w:p w:rsidR="009101DF" w:rsidRPr="00E951E2" w:rsidRDefault="009101DF" w:rsidP="009101DF">
      <w:pPr>
        <w:numPr>
          <w:ilvl w:val="0"/>
          <w:numId w:val="2"/>
        </w:numPr>
        <w:spacing w:line="360" w:lineRule="auto"/>
        <w:jc w:val="both"/>
      </w:pPr>
      <w:r w:rsidRPr="00E951E2">
        <w:t>9 – orzeczeń o warunkowej przydatności wody do spożycia,</w:t>
      </w:r>
    </w:p>
    <w:p w:rsidR="009101DF" w:rsidRPr="00E951E2" w:rsidRDefault="009101DF" w:rsidP="009101DF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 w:rsidRPr="00E951E2">
        <w:t>193 – orzeczenia z przydatnością wody do spożycia.</w:t>
      </w:r>
    </w:p>
    <w:p w:rsidR="009564A8" w:rsidRPr="00E951E2" w:rsidRDefault="009564A8" w:rsidP="009564A8">
      <w:pPr>
        <w:tabs>
          <w:tab w:val="left" w:pos="426"/>
        </w:tabs>
        <w:spacing w:line="360" w:lineRule="auto"/>
        <w:jc w:val="both"/>
      </w:pPr>
    </w:p>
    <w:p w:rsidR="00F82951" w:rsidRPr="0044623B" w:rsidRDefault="0068091C" w:rsidP="000A18E6">
      <w:pPr>
        <w:pStyle w:val="Legenda"/>
        <w:rPr>
          <w:rFonts w:eastAsia="Calibri"/>
          <w:color w:val="auto"/>
          <w:sz w:val="24"/>
          <w:szCs w:val="24"/>
          <w:lang w:eastAsia="en-US"/>
        </w:rPr>
      </w:pPr>
      <w:bookmarkStart w:id="0" w:name="_Toc444672452"/>
      <w:r w:rsidRPr="00E951E2">
        <w:rPr>
          <w:b/>
          <w:color w:val="auto"/>
          <w:sz w:val="24"/>
          <w:szCs w:val="24"/>
        </w:rPr>
        <w:t xml:space="preserve">Wykres </w:t>
      </w:r>
      <w:r w:rsidR="00687A58" w:rsidRPr="00E951E2">
        <w:rPr>
          <w:b/>
          <w:color w:val="auto"/>
          <w:sz w:val="24"/>
          <w:szCs w:val="24"/>
        </w:rPr>
        <w:fldChar w:fldCharType="begin"/>
      </w:r>
      <w:r w:rsidRPr="00E951E2">
        <w:rPr>
          <w:b/>
          <w:color w:val="auto"/>
          <w:sz w:val="24"/>
          <w:szCs w:val="24"/>
        </w:rPr>
        <w:instrText xml:space="preserve"> SEQ Wykres \* ARABIC </w:instrText>
      </w:r>
      <w:r w:rsidR="00687A58" w:rsidRPr="00E951E2">
        <w:rPr>
          <w:b/>
          <w:color w:val="auto"/>
          <w:sz w:val="24"/>
          <w:szCs w:val="24"/>
        </w:rPr>
        <w:fldChar w:fldCharType="separate"/>
      </w:r>
      <w:r w:rsidR="0045113B">
        <w:rPr>
          <w:b/>
          <w:noProof/>
          <w:color w:val="auto"/>
          <w:sz w:val="24"/>
          <w:szCs w:val="24"/>
        </w:rPr>
        <w:t>1</w:t>
      </w:r>
      <w:r w:rsidR="00687A58" w:rsidRPr="00E951E2">
        <w:rPr>
          <w:b/>
          <w:color w:val="auto"/>
          <w:sz w:val="24"/>
          <w:szCs w:val="24"/>
        </w:rPr>
        <w:fldChar w:fldCharType="end"/>
      </w:r>
      <w:r w:rsidRPr="00E951E2">
        <w:rPr>
          <w:color w:val="auto"/>
          <w:sz w:val="24"/>
          <w:szCs w:val="24"/>
        </w:rPr>
        <w:t>.</w:t>
      </w:r>
      <w:r w:rsidRPr="0044623B">
        <w:rPr>
          <w:color w:val="auto"/>
          <w:sz w:val="24"/>
          <w:szCs w:val="24"/>
        </w:rPr>
        <w:t xml:space="preserve"> </w:t>
      </w:r>
      <w:r w:rsidR="00F82951" w:rsidRPr="0044623B">
        <w:rPr>
          <w:rFonts w:eastAsia="Calibri"/>
          <w:color w:val="auto"/>
          <w:sz w:val="24"/>
          <w:szCs w:val="24"/>
          <w:lang w:eastAsia="en-US"/>
        </w:rPr>
        <w:t xml:space="preserve">Ilość próbek wody pobranych z terenu miasta Ruda Śląska w </w:t>
      </w:r>
      <w:r w:rsidR="00F82951" w:rsidRPr="0044623B">
        <w:rPr>
          <w:rFonts w:eastAsia="Calibri"/>
          <w:b/>
          <w:color w:val="auto"/>
          <w:sz w:val="24"/>
          <w:szCs w:val="24"/>
          <w:lang w:eastAsia="en-US"/>
        </w:rPr>
        <w:t>201</w:t>
      </w:r>
      <w:r w:rsidR="0044623B" w:rsidRPr="0044623B">
        <w:rPr>
          <w:rFonts w:eastAsia="Calibri"/>
          <w:b/>
          <w:color w:val="auto"/>
          <w:sz w:val="24"/>
          <w:szCs w:val="24"/>
          <w:lang w:eastAsia="en-US"/>
        </w:rPr>
        <w:t>8</w:t>
      </w:r>
      <w:r w:rsidR="00F82951" w:rsidRPr="0044623B">
        <w:rPr>
          <w:rFonts w:eastAsia="Calibri"/>
          <w:color w:val="auto"/>
          <w:sz w:val="24"/>
          <w:szCs w:val="24"/>
          <w:lang w:eastAsia="en-US"/>
        </w:rPr>
        <w:t xml:space="preserve"> roku</w:t>
      </w:r>
      <w:bookmarkEnd w:id="0"/>
      <w:r w:rsidR="00B060CF" w:rsidRPr="0044623B">
        <w:rPr>
          <w:rFonts w:eastAsia="Calibri"/>
          <w:color w:val="auto"/>
          <w:sz w:val="24"/>
          <w:szCs w:val="24"/>
          <w:lang w:eastAsia="en-US"/>
        </w:rPr>
        <w:t xml:space="preserve"> w ramach bieżącego nadzoru sanitarnego i kontroli wewnętrznej.</w:t>
      </w:r>
    </w:p>
    <w:p w:rsidR="00CE4969" w:rsidRPr="009101DF" w:rsidRDefault="0044623B" w:rsidP="00F82951">
      <w:pPr>
        <w:spacing w:line="360" w:lineRule="auto"/>
        <w:jc w:val="both"/>
        <w:rPr>
          <w:color w:val="FF0000"/>
          <w:highlight w:val="yellow"/>
        </w:rPr>
      </w:pPr>
      <w:r>
        <w:rPr>
          <w:noProof/>
        </w:rPr>
        <w:drawing>
          <wp:inline distT="0" distB="0" distL="0" distR="0" wp14:anchorId="685A99C6" wp14:editId="76CA349E">
            <wp:extent cx="5608320" cy="280416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52D" w:rsidRPr="0091591B" w:rsidRDefault="00A2252D" w:rsidP="00F82951">
      <w:pPr>
        <w:spacing w:line="360" w:lineRule="auto"/>
        <w:jc w:val="both"/>
      </w:pPr>
    </w:p>
    <w:p w:rsidR="0068375B" w:rsidRPr="004E4311" w:rsidRDefault="0068375B" w:rsidP="0068375B">
      <w:pPr>
        <w:spacing w:line="360" w:lineRule="auto"/>
        <w:jc w:val="both"/>
        <w:rPr>
          <w:highlight w:val="yellow"/>
        </w:rPr>
      </w:pPr>
      <w:r w:rsidRPr="004E4311">
        <w:t>W 2018</w:t>
      </w:r>
      <w:r>
        <w:t xml:space="preserve"> </w:t>
      </w:r>
      <w:r w:rsidRPr="004E4311">
        <w:t>r. w 6 próbkach wody pobranych w zakresie jak dla monitoringu kontrolnego z sieci wodociągowej</w:t>
      </w:r>
      <w:r w:rsidR="00DC3547">
        <w:t xml:space="preserve"> w ramach bieżącego nadzoru sanitarnego</w:t>
      </w:r>
      <w:r w:rsidRPr="004E4311">
        <w:t xml:space="preserve"> stwierdzono następujące przekroczenia: </w:t>
      </w:r>
    </w:p>
    <w:p w:rsidR="0068375B" w:rsidRPr="004E4311" w:rsidRDefault="0068375B" w:rsidP="0068375B">
      <w:pPr>
        <w:numPr>
          <w:ilvl w:val="0"/>
          <w:numId w:val="9"/>
        </w:numPr>
        <w:spacing w:line="360" w:lineRule="auto"/>
        <w:jc w:val="both"/>
      </w:pPr>
      <w:r w:rsidRPr="004E4311">
        <w:t>mętność (w 1 próbce);</w:t>
      </w:r>
    </w:p>
    <w:p w:rsidR="0068375B" w:rsidRPr="004E4311" w:rsidRDefault="0068375B" w:rsidP="0068375B">
      <w:pPr>
        <w:numPr>
          <w:ilvl w:val="0"/>
          <w:numId w:val="9"/>
        </w:numPr>
        <w:spacing w:line="360" w:lineRule="auto"/>
        <w:jc w:val="both"/>
      </w:pPr>
      <w:r w:rsidRPr="004E4311">
        <w:t>żelazo (w 2 próbkach);</w:t>
      </w:r>
    </w:p>
    <w:p w:rsidR="0068375B" w:rsidRPr="004E4311" w:rsidRDefault="0068375B" w:rsidP="0068375B">
      <w:pPr>
        <w:numPr>
          <w:ilvl w:val="0"/>
          <w:numId w:val="9"/>
        </w:numPr>
        <w:spacing w:line="360" w:lineRule="auto"/>
        <w:jc w:val="both"/>
      </w:pPr>
      <w:r w:rsidRPr="004E4311">
        <w:t>żelazo + mętność (w 1 próbce);</w:t>
      </w:r>
    </w:p>
    <w:p w:rsidR="0068375B" w:rsidRPr="004E4311" w:rsidRDefault="0068375B" w:rsidP="0068375B">
      <w:pPr>
        <w:numPr>
          <w:ilvl w:val="0"/>
          <w:numId w:val="9"/>
        </w:numPr>
        <w:spacing w:line="360" w:lineRule="auto"/>
        <w:jc w:val="both"/>
      </w:pPr>
      <w:r w:rsidRPr="004E4311">
        <w:t>żelazo + mętność + barwa (w 1 próbce);</w:t>
      </w:r>
    </w:p>
    <w:p w:rsidR="0068375B" w:rsidRPr="004E4311" w:rsidRDefault="0068375B" w:rsidP="0068375B">
      <w:pPr>
        <w:numPr>
          <w:ilvl w:val="0"/>
          <w:numId w:val="9"/>
        </w:numPr>
        <w:spacing w:line="360" w:lineRule="auto"/>
        <w:jc w:val="both"/>
      </w:pPr>
      <w:r w:rsidRPr="004E4311">
        <w:t>glin (w 1 próbce).</w:t>
      </w:r>
    </w:p>
    <w:p w:rsidR="0068375B" w:rsidRPr="004E4311" w:rsidRDefault="0068375B" w:rsidP="0068375B">
      <w:pPr>
        <w:spacing w:line="360" w:lineRule="auto"/>
        <w:jc w:val="both"/>
      </w:pPr>
      <w:r w:rsidRPr="004E4311">
        <w:rPr>
          <w:lang w:eastAsia="pl-PL"/>
        </w:rPr>
        <w:t>Każdorazowo po stwierdzeniu przekroczeń parametrów fizykochemicznych Państwowy Powiatowy Inspektor Sanitarny w Rudzie Śląskiej informował pisemnie osoby odpowiedzialne za jakość wody do spożycia i zobowiązywał właścicieli urządzeń do podjęcia stosownych działań, celem poprawy jakości wody</w:t>
      </w:r>
      <w:r w:rsidRPr="004E4311">
        <w:t xml:space="preserve"> i przekazanie pilnej informacji </w:t>
      </w:r>
      <w:r>
        <w:br/>
      </w:r>
      <w:r w:rsidRPr="004E4311">
        <w:t>w przedmiocie rozpatrywanej sprawy. We wszystkich przypadkach uzyskano dla sieci miejskiej prawidłowe parametry fizykochemiczne wody.</w:t>
      </w:r>
    </w:p>
    <w:p w:rsidR="00F82951" w:rsidRPr="0068375B" w:rsidRDefault="0068375B" w:rsidP="007A2B99">
      <w:pPr>
        <w:spacing w:line="360" w:lineRule="auto"/>
        <w:jc w:val="both"/>
      </w:pPr>
      <w:r w:rsidRPr="004E4311">
        <w:lastRenderedPageBreak/>
        <w:t>Badania parametrów mikrobiologicznych nie wykazały przekroczeń.</w:t>
      </w:r>
    </w:p>
    <w:p w:rsidR="00C92DC1" w:rsidRPr="00246F87" w:rsidRDefault="00B060CF" w:rsidP="00246F87">
      <w:pPr>
        <w:spacing w:line="360" w:lineRule="auto"/>
        <w:jc w:val="both"/>
      </w:pPr>
      <w:r w:rsidRPr="00246F87">
        <w:t xml:space="preserve">W ramach kontroli wewnętrznej Przedsiębiorstwo Wodociągów i Kanalizacji Sp. z o.o. </w:t>
      </w:r>
      <w:r w:rsidRPr="00246F87">
        <w:br/>
        <w:t>w Rudzie Śląskiej oraz GPW S.A. w Katowicach pobrały 1</w:t>
      </w:r>
      <w:r w:rsidR="00C92DC1" w:rsidRPr="00246F87">
        <w:t>88</w:t>
      </w:r>
      <w:r w:rsidRPr="00246F87">
        <w:t xml:space="preserve"> próbek wody do badań laboratoryjnych (zaplanowano do poboru 1</w:t>
      </w:r>
      <w:r w:rsidR="00C92DC1" w:rsidRPr="00246F87">
        <w:t>22</w:t>
      </w:r>
      <w:r w:rsidRPr="00246F87">
        <w:t xml:space="preserve"> próbek). Przekroczenia stwierdzono </w:t>
      </w:r>
      <w:r w:rsidR="00DC3547">
        <w:br/>
      </w:r>
      <w:r w:rsidRPr="00246F87">
        <w:t xml:space="preserve">w </w:t>
      </w:r>
      <w:r w:rsidR="00C92DC1" w:rsidRPr="00246F87">
        <w:t>10</w:t>
      </w:r>
      <w:r w:rsidRPr="00246F87">
        <w:t xml:space="preserve"> próbkach wody, a przekroczone parametry to: </w:t>
      </w:r>
    </w:p>
    <w:p w:rsidR="00B060CF" w:rsidRPr="00246F87" w:rsidRDefault="00B060CF" w:rsidP="00246F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mętność (</w:t>
      </w:r>
      <w:r w:rsidR="00C92DC1" w:rsidRPr="00246F87">
        <w:rPr>
          <w:rFonts w:ascii="Times New Roman" w:hAnsi="Times New Roman"/>
          <w:sz w:val="24"/>
          <w:szCs w:val="24"/>
        </w:rPr>
        <w:t>w 6</w:t>
      </w:r>
      <w:r w:rsidRPr="00246F87">
        <w:rPr>
          <w:rFonts w:ascii="Times New Roman" w:hAnsi="Times New Roman"/>
          <w:sz w:val="24"/>
          <w:szCs w:val="24"/>
        </w:rPr>
        <w:t xml:space="preserve"> prób</w:t>
      </w:r>
      <w:r w:rsidR="00C92DC1" w:rsidRPr="00246F87">
        <w:rPr>
          <w:rFonts w:ascii="Times New Roman" w:hAnsi="Times New Roman"/>
          <w:sz w:val="24"/>
          <w:szCs w:val="24"/>
        </w:rPr>
        <w:t>kach</w:t>
      </w:r>
      <w:r w:rsidRPr="00246F87">
        <w:rPr>
          <w:rFonts w:ascii="Times New Roman" w:hAnsi="Times New Roman"/>
          <w:sz w:val="24"/>
          <w:szCs w:val="24"/>
        </w:rPr>
        <w:t xml:space="preserve">), </w:t>
      </w:r>
    </w:p>
    <w:p w:rsidR="00C92DC1" w:rsidRPr="00246F87" w:rsidRDefault="00C92DC1" w:rsidP="00246F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mętność + żelazo (w 4 próbkach).</w:t>
      </w:r>
    </w:p>
    <w:p w:rsidR="00E44B84" w:rsidRPr="00C8691F" w:rsidRDefault="00E44B84" w:rsidP="00E44B84">
      <w:pPr>
        <w:spacing w:line="360" w:lineRule="auto"/>
        <w:jc w:val="both"/>
        <w:rPr>
          <w:lang w:eastAsia="pl-PL"/>
        </w:rPr>
      </w:pPr>
      <w:r w:rsidRPr="00C8691F">
        <w:rPr>
          <w:lang w:eastAsia="pl-PL"/>
        </w:rPr>
        <w:t xml:space="preserve">Każdorazowo po stwierdzeniu przekroczeń w/w parametrów </w:t>
      </w:r>
      <w:proofErr w:type="spellStart"/>
      <w:r w:rsidRPr="00C8691F">
        <w:rPr>
          <w:lang w:eastAsia="pl-PL"/>
        </w:rPr>
        <w:t>PWiK</w:t>
      </w:r>
      <w:proofErr w:type="spellEnd"/>
      <w:r w:rsidRPr="00C8691F">
        <w:rPr>
          <w:lang w:eastAsia="pl-PL"/>
        </w:rPr>
        <w:t xml:space="preserve"> Sp. z o.</w:t>
      </w:r>
      <w:r w:rsidR="00C8691F" w:rsidRPr="00C8691F">
        <w:rPr>
          <w:lang w:eastAsia="pl-PL"/>
        </w:rPr>
        <w:t xml:space="preserve"> </w:t>
      </w:r>
      <w:r w:rsidRPr="00C8691F">
        <w:rPr>
          <w:lang w:eastAsia="pl-PL"/>
        </w:rPr>
        <w:t xml:space="preserve">o. dokonywało ponownego poboru próbek wody. </w:t>
      </w:r>
      <w:r w:rsidRPr="00C8691F">
        <w:t>We wszystkich przypadkach uzyskano dla sieci miejskiej prawidłowe parametry jakości wody.</w:t>
      </w:r>
    </w:p>
    <w:p w:rsidR="00355A28" w:rsidRPr="004403E5" w:rsidRDefault="00355A28" w:rsidP="00F82951">
      <w:pPr>
        <w:spacing w:line="360" w:lineRule="auto"/>
        <w:rPr>
          <w:i/>
          <w:highlight w:val="yellow"/>
        </w:rPr>
      </w:pPr>
    </w:p>
    <w:p w:rsidR="00F82951" w:rsidRPr="004403E5" w:rsidRDefault="0068091C" w:rsidP="007C0173">
      <w:pPr>
        <w:pStyle w:val="Legenda"/>
        <w:jc w:val="both"/>
        <w:rPr>
          <w:b/>
          <w:color w:val="auto"/>
          <w:sz w:val="24"/>
          <w:szCs w:val="24"/>
        </w:rPr>
      </w:pPr>
      <w:bookmarkStart w:id="1" w:name="_Toc444672454"/>
      <w:r w:rsidRPr="004403E5">
        <w:rPr>
          <w:b/>
          <w:color w:val="auto"/>
          <w:sz w:val="24"/>
          <w:szCs w:val="24"/>
        </w:rPr>
        <w:t xml:space="preserve">Wykres </w:t>
      </w:r>
      <w:r w:rsidR="000C4FEC" w:rsidRPr="004403E5">
        <w:rPr>
          <w:b/>
          <w:color w:val="auto"/>
          <w:sz w:val="24"/>
          <w:szCs w:val="24"/>
        </w:rPr>
        <w:t>2</w:t>
      </w:r>
      <w:r w:rsidRPr="004403E5">
        <w:rPr>
          <w:b/>
          <w:color w:val="auto"/>
          <w:sz w:val="24"/>
          <w:szCs w:val="24"/>
        </w:rPr>
        <w:t xml:space="preserve">. </w:t>
      </w:r>
      <w:r w:rsidR="00114E4F" w:rsidRPr="004403E5">
        <w:rPr>
          <w:rFonts w:eastAsia="Calibri"/>
          <w:color w:val="auto"/>
          <w:sz w:val="24"/>
          <w:szCs w:val="24"/>
          <w:lang w:eastAsia="en-US"/>
        </w:rPr>
        <w:t xml:space="preserve">Bieżący nadzór sanitarny </w:t>
      </w:r>
      <w:r w:rsidR="00333C5D" w:rsidRPr="004403E5">
        <w:rPr>
          <w:rFonts w:eastAsia="Calibri"/>
          <w:color w:val="auto"/>
          <w:sz w:val="24"/>
          <w:szCs w:val="24"/>
          <w:lang w:eastAsia="en-US"/>
        </w:rPr>
        <w:t xml:space="preserve">i kontrola wewnętrzna </w:t>
      </w:r>
      <w:r w:rsidR="00114E4F" w:rsidRPr="004403E5">
        <w:rPr>
          <w:rFonts w:eastAsia="Calibri"/>
          <w:color w:val="auto"/>
          <w:sz w:val="24"/>
          <w:szCs w:val="24"/>
          <w:lang w:eastAsia="en-US"/>
        </w:rPr>
        <w:t xml:space="preserve">w zakresie jak dla monitoringu kontrolnego </w:t>
      </w:r>
      <w:r w:rsidRPr="004403E5">
        <w:rPr>
          <w:color w:val="auto"/>
          <w:sz w:val="24"/>
          <w:szCs w:val="24"/>
        </w:rPr>
        <w:t>- przekroczenia parametrów fizykochemicznych w</w:t>
      </w:r>
      <w:r w:rsidRPr="004403E5">
        <w:rPr>
          <w:b/>
          <w:color w:val="auto"/>
          <w:sz w:val="24"/>
          <w:szCs w:val="24"/>
        </w:rPr>
        <w:t xml:space="preserve"> 201</w:t>
      </w:r>
      <w:r w:rsidR="00C8691F" w:rsidRPr="004403E5">
        <w:rPr>
          <w:b/>
          <w:color w:val="auto"/>
          <w:sz w:val="24"/>
          <w:szCs w:val="24"/>
        </w:rPr>
        <w:t>8</w:t>
      </w:r>
      <w:r w:rsidRPr="004403E5">
        <w:rPr>
          <w:b/>
          <w:color w:val="auto"/>
          <w:sz w:val="24"/>
          <w:szCs w:val="24"/>
        </w:rPr>
        <w:t xml:space="preserve"> </w:t>
      </w:r>
      <w:r w:rsidRPr="004403E5">
        <w:rPr>
          <w:color w:val="auto"/>
          <w:sz w:val="24"/>
          <w:szCs w:val="24"/>
        </w:rPr>
        <w:t>roku.</w:t>
      </w:r>
      <w:bookmarkEnd w:id="1"/>
    </w:p>
    <w:p w:rsidR="000D3477" w:rsidRPr="009101DF" w:rsidRDefault="00BC31C8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highlight w:val="yellow"/>
          <w:lang w:eastAsia="pl-PL"/>
        </w:rPr>
      </w:pPr>
      <w:r>
        <w:rPr>
          <w:noProof/>
        </w:rPr>
        <w:drawing>
          <wp:inline distT="0" distB="0" distL="0" distR="0" wp14:anchorId="0638DA79" wp14:editId="0B6CD486">
            <wp:extent cx="5707380" cy="341376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117A711A-7D4E-481B-A7FF-62C76493CC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75A" w:rsidRPr="00822F1C" w:rsidRDefault="00CA575A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</w:p>
    <w:p w:rsidR="000D3477" w:rsidRPr="0091591B" w:rsidRDefault="000D3477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91591B">
        <w:rPr>
          <w:rFonts w:eastAsia="Times New Roman"/>
          <w:lang w:eastAsia="pl-PL"/>
        </w:rPr>
        <w:t>W 201</w:t>
      </w:r>
      <w:r w:rsidR="0091591B" w:rsidRPr="0091591B">
        <w:rPr>
          <w:rFonts w:eastAsia="Times New Roman"/>
          <w:lang w:eastAsia="pl-PL"/>
        </w:rPr>
        <w:t xml:space="preserve">8 </w:t>
      </w:r>
      <w:r w:rsidRPr="0091591B">
        <w:rPr>
          <w:rFonts w:eastAsia="Times New Roman"/>
          <w:lang w:eastAsia="pl-PL"/>
        </w:rPr>
        <w:t xml:space="preserve">r. </w:t>
      </w:r>
      <w:r w:rsidR="00D01590" w:rsidRPr="0091591B">
        <w:rPr>
          <w:rFonts w:eastAsia="Times New Roman"/>
          <w:lang w:eastAsia="pl-PL"/>
        </w:rPr>
        <w:t xml:space="preserve">w </w:t>
      </w:r>
      <w:r w:rsidR="00CA575A" w:rsidRPr="0091591B">
        <w:rPr>
          <w:rFonts w:eastAsia="Times New Roman"/>
          <w:lang w:eastAsia="pl-PL"/>
        </w:rPr>
        <w:t>2</w:t>
      </w:r>
      <w:r w:rsidR="0091591B" w:rsidRPr="0091591B">
        <w:rPr>
          <w:rFonts w:eastAsia="Times New Roman"/>
          <w:lang w:eastAsia="pl-PL"/>
        </w:rPr>
        <w:t>6</w:t>
      </w:r>
      <w:r w:rsidR="00CA575A" w:rsidRPr="0091591B">
        <w:rPr>
          <w:rFonts w:eastAsia="Times New Roman"/>
          <w:lang w:eastAsia="pl-PL"/>
        </w:rPr>
        <w:t xml:space="preserve"> </w:t>
      </w:r>
      <w:r w:rsidR="00D01590" w:rsidRPr="0091591B">
        <w:rPr>
          <w:rFonts w:eastAsia="Times New Roman"/>
          <w:lang w:eastAsia="pl-PL"/>
        </w:rPr>
        <w:t xml:space="preserve">próbkach wody pobranych </w:t>
      </w:r>
      <w:r w:rsidR="00CA575A" w:rsidRPr="0091591B">
        <w:rPr>
          <w:rFonts w:eastAsia="Times New Roman"/>
          <w:lang w:eastAsia="pl-PL"/>
        </w:rPr>
        <w:t xml:space="preserve">w ramach bieżącego nadzoru sanitarnego </w:t>
      </w:r>
      <w:r w:rsidR="00CA575A" w:rsidRPr="0091591B">
        <w:rPr>
          <w:rFonts w:eastAsia="Times New Roman"/>
          <w:lang w:eastAsia="pl-PL"/>
        </w:rPr>
        <w:br/>
      </w:r>
      <w:r w:rsidR="00D01590" w:rsidRPr="0091591B">
        <w:t>w zakresie jak dla monitoringu</w:t>
      </w:r>
      <w:r w:rsidR="00D01590" w:rsidRPr="0091591B">
        <w:rPr>
          <w:rFonts w:eastAsia="Times New Roman"/>
          <w:lang w:eastAsia="pl-PL"/>
        </w:rPr>
        <w:t xml:space="preserve"> </w:t>
      </w:r>
      <w:r w:rsidRPr="0091591B">
        <w:rPr>
          <w:rFonts w:eastAsia="Times New Roman"/>
          <w:lang w:eastAsia="pl-PL"/>
        </w:rPr>
        <w:t xml:space="preserve">przeglądowego z sieci wodociągowej </w:t>
      </w:r>
      <w:r w:rsidR="000C4FEC" w:rsidRPr="0091591B">
        <w:rPr>
          <w:rFonts w:eastAsia="Times New Roman"/>
          <w:lang w:eastAsia="pl-PL"/>
        </w:rPr>
        <w:t xml:space="preserve">nie </w:t>
      </w:r>
      <w:r w:rsidR="00D01590" w:rsidRPr="0091591B">
        <w:rPr>
          <w:rFonts w:eastAsia="Times New Roman"/>
          <w:lang w:eastAsia="pl-PL"/>
        </w:rPr>
        <w:t xml:space="preserve">odnotowano </w:t>
      </w:r>
      <w:r w:rsidR="000C4FEC" w:rsidRPr="0091591B">
        <w:rPr>
          <w:rFonts w:eastAsia="Times New Roman"/>
          <w:lang w:eastAsia="pl-PL"/>
        </w:rPr>
        <w:t>żadnych przekroczeń.</w:t>
      </w:r>
    </w:p>
    <w:p w:rsidR="00CF0304" w:rsidRPr="000F2104" w:rsidRDefault="00CA575A" w:rsidP="000F2104">
      <w:pPr>
        <w:spacing w:line="360" w:lineRule="auto"/>
        <w:jc w:val="both"/>
      </w:pPr>
      <w:r w:rsidRPr="0091591B">
        <w:t xml:space="preserve">W ramach kontroli wewnętrznej Przedsiębiorstwo Wodociągów i Kanalizacji Sp. z o.o. </w:t>
      </w:r>
      <w:r w:rsidRPr="0091591B">
        <w:br/>
        <w:t xml:space="preserve">w Rudzie Śląskiej oraz GPW S.A. w Katowicach pobrały </w:t>
      </w:r>
      <w:r w:rsidR="0091591B" w:rsidRPr="0091591B">
        <w:t>29</w:t>
      </w:r>
      <w:r w:rsidRPr="0091591B">
        <w:t xml:space="preserve"> próbek wody do badań laboratoryjnych (zaplanowano do poboru 2</w:t>
      </w:r>
      <w:r w:rsidR="0091591B" w:rsidRPr="0091591B">
        <w:t>8</w:t>
      </w:r>
      <w:r w:rsidRPr="0091591B">
        <w:t xml:space="preserve"> próbki). Przekroczenia stwierdzono w 1 próbce wody, a przekroczony parametr to mętność.</w:t>
      </w:r>
    </w:p>
    <w:p w:rsidR="00CF0304" w:rsidRPr="0091591B" w:rsidRDefault="00CF0304" w:rsidP="00CF0304">
      <w:pPr>
        <w:pStyle w:val="Legenda"/>
        <w:jc w:val="both"/>
        <w:rPr>
          <w:b/>
          <w:color w:val="auto"/>
          <w:sz w:val="24"/>
          <w:szCs w:val="24"/>
        </w:rPr>
      </w:pPr>
      <w:r w:rsidRPr="0091591B">
        <w:rPr>
          <w:b/>
          <w:color w:val="auto"/>
          <w:sz w:val="24"/>
          <w:szCs w:val="24"/>
        </w:rPr>
        <w:lastRenderedPageBreak/>
        <w:t xml:space="preserve">Wykres 4. </w:t>
      </w:r>
      <w:r w:rsidRPr="0091591B">
        <w:rPr>
          <w:rFonts w:eastAsia="Calibri"/>
          <w:color w:val="auto"/>
          <w:sz w:val="24"/>
          <w:szCs w:val="24"/>
          <w:lang w:eastAsia="en-US"/>
        </w:rPr>
        <w:t xml:space="preserve">Bieżący nadzór sanitarny i kontrola wewnętrzna w zakresie jak dla monitoringu przeglądowego </w:t>
      </w:r>
      <w:r w:rsidRPr="0091591B">
        <w:rPr>
          <w:color w:val="auto"/>
          <w:sz w:val="24"/>
          <w:szCs w:val="24"/>
        </w:rPr>
        <w:t>- przekroczenia parametrów fizykochemicznych w</w:t>
      </w:r>
      <w:r w:rsidRPr="0091591B">
        <w:rPr>
          <w:b/>
          <w:color w:val="auto"/>
          <w:sz w:val="24"/>
          <w:szCs w:val="24"/>
        </w:rPr>
        <w:t xml:space="preserve"> 201</w:t>
      </w:r>
      <w:r w:rsidR="0091591B" w:rsidRPr="0091591B">
        <w:rPr>
          <w:b/>
          <w:color w:val="auto"/>
          <w:sz w:val="24"/>
          <w:szCs w:val="24"/>
        </w:rPr>
        <w:t>8</w:t>
      </w:r>
      <w:r w:rsidRPr="0091591B">
        <w:rPr>
          <w:b/>
          <w:color w:val="auto"/>
          <w:sz w:val="24"/>
          <w:szCs w:val="24"/>
        </w:rPr>
        <w:t xml:space="preserve"> </w:t>
      </w:r>
      <w:r w:rsidRPr="0091591B">
        <w:rPr>
          <w:color w:val="auto"/>
          <w:sz w:val="24"/>
          <w:szCs w:val="24"/>
        </w:rPr>
        <w:t>roku.</w:t>
      </w:r>
    </w:p>
    <w:p w:rsidR="008870BD" w:rsidRPr="009101DF" w:rsidRDefault="0091591B" w:rsidP="00DA0360">
      <w:pPr>
        <w:spacing w:line="360" w:lineRule="auto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18D6BE7B" wp14:editId="0156282A">
            <wp:extent cx="5745480" cy="262890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2104" w:rsidRDefault="000F2104" w:rsidP="0019777D">
      <w:pPr>
        <w:spacing w:line="360" w:lineRule="auto"/>
        <w:ind w:firstLine="708"/>
        <w:jc w:val="both"/>
        <w:rPr>
          <w:lang w:eastAsia="pl-PL"/>
        </w:rPr>
      </w:pPr>
    </w:p>
    <w:p w:rsidR="0019777D" w:rsidRPr="000F2104" w:rsidRDefault="0019777D" w:rsidP="0019777D">
      <w:pPr>
        <w:spacing w:line="360" w:lineRule="auto"/>
        <w:ind w:firstLine="708"/>
        <w:jc w:val="both"/>
        <w:rPr>
          <w:lang w:eastAsia="pl-PL"/>
        </w:rPr>
      </w:pPr>
      <w:r w:rsidRPr="006E04A7">
        <w:rPr>
          <w:lang w:eastAsia="pl-PL"/>
        </w:rPr>
        <w:t xml:space="preserve">W próbkach wody pobranych w ramach bieżącego nadzoru sanitarnego w zakresie jak dla monitoringu kontrolnego ze stacji uzdatniania wody – wodociągi zakładowe, znajdujących się na terenie miasta Ruda Śląska </w:t>
      </w:r>
      <w:r w:rsidRPr="006E04A7">
        <w:t xml:space="preserve">stwierdzono w jednym przypadku przekroczenie parametru chemicznego - żelaza. Natomiast dla </w:t>
      </w:r>
      <w:r>
        <w:t xml:space="preserve">2 </w:t>
      </w:r>
      <w:r w:rsidRPr="006E04A7">
        <w:t>prób</w:t>
      </w:r>
      <w:r w:rsidRPr="006E04A7">
        <w:rPr>
          <w:lang w:eastAsia="pl-PL"/>
        </w:rPr>
        <w:t xml:space="preserve"> pobranych w ramach bieżącego nadzoru sanitarnego w zakresie jak dla monitoringu przeglądowego ze stacji uzdatniania wody – </w:t>
      </w:r>
      <w:r w:rsidRPr="000F2104">
        <w:rPr>
          <w:lang w:eastAsia="pl-PL"/>
        </w:rPr>
        <w:t>wodociągi zakładowe, znajdujących się na terenie miasta Ruda Śląska w dwóch próbkach stwierdzono następujące przekroczenia parametrów fizykochemicznych:</w:t>
      </w:r>
    </w:p>
    <w:p w:rsidR="0019777D" w:rsidRPr="000F2104" w:rsidRDefault="0019777D" w:rsidP="0019777D">
      <w:pPr>
        <w:numPr>
          <w:ilvl w:val="0"/>
          <w:numId w:val="11"/>
        </w:numPr>
        <w:spacing w:line="360" w:lineRule="auto"/>
        <w:jc w:val="both"/>
      </w:pPr>
      <w:r w:rsidRPr="000F2104">
        <w:t>twardość + zapach,</w:t>
      </w:r>
    </w:p>
    <w:p w:rsidR="0019777D" w:rsidRPr="000F2104" w:rsidRDefault="0019777D" w:rsidP="001977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2104">
        <w:rPr>
          <w:rFonts w:ascii="Times New Roman" w:hAnsi="Times New Roman"/>
          <w:sz w:val="24"/>
          <w:szCs w:val="24"/>
        </w:rPr>
        <w:t>twardość + zapach + chlorki.</w:t>
      </w:r>
    </w:p>
    <w:p w:rsidR="0019777D" w:rsidRPr="000F2104" w:rsidRDefault="0019777D" w:rsidP="0019777D">
      <w:pPr>
        <w:spacing w:line="360" w:lineRule="auto"/>
        <w:jc w:val="both"/>
        <w:rPr>
          <w:lang w:eastAsia="pl-PL"/>
        </w:rPr>
      </w:pPr>
      <w:r w:rsidRPr="000F2104">
        <w:t xml:space="preserve">Przekroczenia fizykochemiczne dotyczyły SUW KWK „BIELSZOWICE”. </w:t>
      </w:r>
    </w:p>
    <w:p w:rsidR="0019777D" w:rsidRPr="000F2104" w:rsidRDefault="0019777D" w:rsidP="0019777D">
      <w:pPr>
        <w:spacing w:line="360" w:lineRule="auto"/>
        <w:jc w:val="both"/>
        <w:rPr>
          <w:i/>
        </w:rPr>
      </w:pPr>
      <w:r w:rsidRPr="000F2104">
        <w:rPr>
          <w:lang w:eastAsia="pl-PL"/>
        </w:rPr>
        <w:t>Po stwierdzeniu przekroczeń parametrów</w:t>
      </w:r>
      <w:r w:rsidRPr="006E04A7">
        <w:rPr>
          <w:lang w:eastAsia="pl-PL"/>
        </w:rPr>
        <w:t xml:space="preserve"> fizykochemicznych Państwowy Powiatowy Inspektor Sanitarny w Rudzie Śląskiej poinformował osobę odpowiedzialną za jakość wody do spożycia i zobowiązywał właściciela urządzenia do podjęcia stosownych działań, celem poprawy jakości wody</w:t>
      </w:r>
      <w:r w:rsidRPr="006E04A7">
        <w:t xml:space="preserve"> i przekazanie informacji w przedmiocie rozpatrywanej sprawy. </w:t>
      </w:r>
      <w:r w:rsidRPr="000F2104">
        <w:t>W wyniku prowadzonego postępowania uzyskano dla sieci kopalnianej prawidłowe parametry fizykochemiczne wody.</w:t>
      </w:r>
    </w:p>
    <w:p w:rsidR="00F82951" w:rsidRPr="000F2104" w:rsidRDefault="00F82951" w:rsidP="00F82951">
      <w:pPr>
        <w:spacing w:line="360" w:lineRule="auto"/>
        <w:jc w:val="both"/>
        <w:rPr>
          <w:highlight w:val="yellow"/>
        </w:rPr>
      </w:pPr>
    </w:p>
    <w:p w:rsidR="0019777D" w:rsidRPr="004208AB" w:rsidRDefault="0019777D" w:rsidP="0019777D">
      <w:pPr>
        <w:spacing w:line="360" w:lineRule="auto"/>
        <w:ind w:firstLine="708"/>
        <w:jc w:val="both"/>
      </w:pPr>
      <w:r w:rsidRPr="004208AB">
        <w:t xml:space="preserve">W roku 2018 próbki wody do badań na obecność bakterii </w:t>
      </w:r>
      <w:proofErr w:type="spellStart"/>
      <w:r w:rsidRPr="004208AB">
        <w:rPr>
          <w:i/>
        </w:rPr>
        <w:t>Legionella</w:t>
      </w:r>
      <w:proofErr w:type="spellEnd"/>
      <w:r w:rsidRPr="004208AB">
        <w:rPr>
          <w:i/>
        </w:rPr>
        <w:t xml:space="preserve"> sp.</w:t>
      </w:r>
      <w:r w:rsidRPr="004208AB">
        <w:t xml:space="preserve"> w instalacjach wody ciepłej były pobierane z budynków: domów pomocy społecznej, zakładów opieki zdrowotnej zamkniętej – (szpital),</w:t>
      </w:r>
      <w:r>
        <w:t xml:space="preserve"> obiektów hotelarskich, żłobków, noclegowni</w:t>
      </w:r>
      <w:r w:rsidRPr="004208AB">
        <w:t xml:space="preserve">. </w:t>
      </w:r>
    </w:p>
    <w:p w:rsidR="0019777D" w:rsidRDefault="0019777D" w:rsidP="0019777D">
      <w:pPr>
        <w:spacing w:line="360" w:lineRule="auto"/>
        <w:jc w:val="both"/>
      </w:pPr>
      <w:r w:rsidRPr="003E21A7">
        <w:lastRenderedPageBreak/>
        <w:t xml:space="preserve">Łącznie pobrano 107 próbek </w:t>
      </w:r>
      <w:r w:rsidRPr="00FF126F">
        <w:t>wody z instalacji wody ciepłej, z czego przekroczenia mikrobiologiczne stwierdzono w 18 próbkach. W związku z powyższym wydano 10 decyzji administracyjnych, w tym 2 z rygorem natychmiastowej wykonalności i 1 decyzję zmieniającą oraz 3 upomnienia.</w:t>
      </w:r>
    </w:p>
    <w:p w:rsidR="00016862" w:rsidRDefault="00016862" w:rsidP="0019777D">
      <w:pPr>
        <w:spacing w:line="360" w:lineRule="auto"/>
        <w:jc w:val="both"/>
      </w:pPr>
    </w:p>
    <w:p w:rsidR="005A1EE1" w:rsidRPr="00257FAD" w:rsidRDefault="005A1EE1" w:rsidP="005A1EE1">
      <w:pPr>
        <w:pStyle w:val="Legenda"/>
        <w:jc w:val="both"/>
        <w:rPr>
          <w:color w:val="auto"/>
          <w:sz w:val="24"/>
          <w:szCs w:val="24"/>
        </w:rPr>
      </w:pPr>
      <w:bookmarkStart w:id="2" w:name="_Toc444672456"/>
      <w:r w:rsidRPr="00FF126F">
        <w:rPr>
          <w:b/>
          <w:color w:val="auto"/>
          <w:sz w:val="24"/>
          <w:szCs w:val="24"/>
        </w:rPr>
        <w:t>Wykres 3.</w:t>
      </w:r>
      <w:r w:rsidRPr="00FF126F">
        <w:rPr>
          <w:rFonts w:eastAsia="Calibri"/>
          <w:color w:val="auto"/>
          <w:sz w:val="24"/>
          <w:szCs w:val="24"/>
          <w:lang w:eastAsia="en-US"/>
        </w:rPr>
        <w:t xml:space="preserve"> Ocena skażenia próbek wody pobranych z instalacji wody ciepłej w kierunku</w:t>
      </w:r>
      <w:r w:rsidRPr="00257FAD">
        <w:rPr>
          <w:rFonts w:eastAsia="Calibri"/>
          <w:color w:val="auto"/>
          <w:sz w:val="24"/>
          <w:szCs w:val="24"/>
          <w:lang w:eastAsia="en-US"/>
        </w:rPr>
        <w:t xml:space="preserve"> bakterii </w:t>
      </w:r>
      <w:proofErr w:type="spellStart"/>
      <w:r w:rsidRPr="00257FAD">
        <w:rPr>
          <w:rFonts w:eastAsia="Calibri"/>
          <w:color w:val="auto"/>
          <w:sz w:val="24"/>
          <w:szCs w:val="24"/>
          <w:lang w:eastAsia="en-US"/>
        </w:rPr>
        <w:t>Legionella</w:t>
      </w:r>
      <w:proofErr w:type="spellEnd"/>
      <w:r w:rsidRPr="00257FAD">
        <w:rPr>
          <w:rFonts w:eastAsia="Calibri"/>
          <w:color w:val="auto"/>
          <w:sz w:val="24"/>
          <w:szCs w:val="24"/>
          <w:lang w:eastAsia="en-US"/>
        </w:rPr>
        <w:t xml:space="preserve"> sp.</w:t>
      </w:r>
      <w:bookmarkEnd w:id="2"/>
    </w:p>
    <w:p w:rsidR="00F82951" w:rsidRDefault="0019777D" w:rsidP="00F82951">
      <w:pPr>
        <w:jc w:val="both"/>
        <w:rPr>
          <w:color w:val="FF0000"/>
          <w:highlight w:val="yellow"/>
        </w:rPr>
      </w:pPr>
      <w:r w:rsidRPr="00257FAD">
        <w:rPr>
          <w:noProof/>
          <w:color w:val="FF0000"/>
        </w:rPr>
        <w:drawing>
          <wp:inline distT="0" distB="0" distL="0" distR="0" wp14:anchorId="57DE1661" wp14:editId="7E0D78FA">
            <wp:extent cx="5760720" cy="291838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1EE1" w:rsidRPr="00822F1C" w:rsidRDefault="005A1EE1" w:rsidP="00F82951">
      <w:pPr>
        <w:jc w:val="both"/>
        <w:rPr>
          <w:highlight w:val="yellow"/>
        </w:rPr>
      </w:pPr>
    </w:p>
    <w:p w:rsidR="005A1EE1" w:rsidRPr="00822F1C" w:rsidRDefault="005A1EE1" w:rsidP="00F82951">
      <w:pPr>
        <w:jc w:val="both"/>
        <w:rPr>
          <w:highlight w:val="yellow"/>
        </w:rPr>
      </w:pPr>
    </w:p>
    <w:p w:rsidR="00C72DDA" w:rsidRDefault="00C72DDA" w:rsidP="000F2104">
      <w:pPr>
        <w:spacing w:line="360" w:lineRule="auto"/>
        <w:jc w:val="both"/>
      </w:pPr>
    </w:p>
    <w:p w:rsidR="00822F1C" w:rsidRPr="00822F1C" w:rsidRDefault="008870BD" w:rsidP="00822F1C">
      <w:pPr>
        <w:spacing w:line="360" w:lineRule="auto"/>
        <w:ind w:firstLine="708"/>
        <w:jc w:val="both"/>
        <w:rPr>
          <w:highlight w:val="yellow"/>
        </w:rPr>
      </w:pPr>
      <w:r w:rsidRPr="00822F1C">
        <w:t>Na podstawie analizy próbek wody pobranych w 201</w:t>
      </w:r>
      <w:r w:rsidR="005A1EE1" w:rsidRPr="00822F1C">
        <w:t>8</w:t>
      </w:r>
      <w:r w:rsidRPr="00822F1C">
        <w:t xml:space="preserve"> roku w ramach bieżącego nadzoru sanitarnego i kontroli wewnętrznej stwierdza się, iż dla miejskiej sieci wodociągowej próbki kwestionowane stanowią </w:t>
      </w:r>
      <w:r w:rsidR="00822F1C" w:rsidRPr="00822F1C">
        <w:t>5,43</w:t>
      </w:r>
      <w:r w:rsidRPr="00822F1C">
        <w:t>% ogółu pobranych próbek. Natomiast próbki kwestionowane pobrane ze stacji uzdatniania wody stanowią 17,6% ogółu pobranych próbek. Porównując powyższe dane z rokiem 201</w:t>
      </w:r>
      <w:r w:rsidR="00822F1C" w:rsidRPr="00822F1C">
        <w:t>7</w:t>
      </w:r>
      <w:r w:rsidRPr="00822F1C">
        <w:t xml:space="preserve"> stwierdza się, iż procent przekroczeń </w:t>
      </w:r>
      <w:r w:rsidR="00822F1C">
        <w:br/>
      </w:r>
      <w:r w:rsidRPr="00822F1C">
        <w:t xml:space="preserve">w pobieranych próbkach wody utrzymuje się na stosunkowo stałym poziomie. W przypadku miejskiej sieci wodociągowej </w:t>
      </w:r>
      <w:r w:rsidR="00822F1C" w:rsidRPr="00822F1C">
        <w:t>stwierdzono</w:t>
      </w:r>
      <w:r w:rsidRPr="00822F1C">
        <w:t xml:space="preserve"> </w:t>
      </w:r>
      <w:r w:rsidR="00822F1C" w:rsidRPr="00822F1C">
        <w:t>wzrost</w:t>
      </w:r>
      <w:r w:rsidRPr="00822F1C">
        <w:t xml:space="preserve"> zanotowanych przekroczeń na poziomie </w:t>
      </w:r>
      <w:r w:rsidR="00822F1C" w:rsidRPr="00822F1C">
        <w:t>2,03</w:t>
      </w:r>
      <w:r w:rsidRPr="00822F1C">
        <w:t xml:space="preserve">%. </w:t>
      </w:r>
      <w:r w:rsidR="00822F1C" w:rsidRPr="00822F1C">
        <w:t>W przypadku stacji uzdatniania procent stwierdzonych przekroczeń nie uległ zmianie.</w:t>
      </w:r>
    </w:p>
    <w:p w:rsidR="008870BD" w:rsidRPr="00822F1C" w:rsidRDefault="008870BD" w:rsidP="008870BD">
      <w:pPr>
        <w:spacing w:line="360" w:lineRule="auto"/>
        <w:ind w:firstLine="708"/>
        <w:jc w:val="both"/>
        <w:rPr>
          <w:highlight w:val="yellow"/>
        </w:rPr>
      </w:pPr>
    </w:p>
    <w:p w:rsidR="00425E30" w:rsidRPr="00822F1C" w:rsidRDefault="00425E30" w:rsidP="00425E30">
      <w:pPr>
        <w:spacing w:line="360" w:lineRule="auto"/>
        <w:ind w:firstLine="708"/>
        <w:jc w:val="both"/>
      </w:pPr>
      <w:r w:rsidRPr="00822F1C">
        <w:t>PPIS w Rudzie Śląskiej stwierdził</w:t>
      </w:r>
      <w:r w:rsidRPr="00822F1C">
        <w:rPr>
          <w:b/>
        </w:rPr>
        <w:t xml:space="preserve"> stabilność parametrów jakości wody</w:t>
      </w:r>
      <w:r w:rsidRPr="00822F1C">
        <w:t xml:space="preserve"> </w:t>
      </w:r>
      <w:r w:rsidRPr="00822F1C">
        <w:rPr>
          <w:b/>
        </w:rPr>
        <w:t>przeznaczonej do spożycia</w:t>
      </w:r>
      <w:r w:rsidRPr="00822F1C">
        <w:t xml:space="preserve"> rozprowadzanej przez miejską sieć wodociągową oraz wody produkowanej i rozprowadzanej przez SUW.</w:t>
      </w:r>
    </w:p>
    <w:p w:rsidR="00B82BE7" w:rsidRPr="00822F1C" w:rsidRDefault="00B82BE7"/>
    <w:p w:rsidR="00FE7D66" w:rsidRDefault="00FE7D66"/>
    <w:p w:rsidR="00FE7D66" w:rsidRPr="00D043A2" w:rsidRDefault="00FE7D66" w:rsidP="00FE7D66">
      <w:pPr>
        <w:spacing w:line="360" w:lineRule="auto"/>
        <w:jc w:val="both"/>
        <w:rPr>
          <w:b/>
          <w:sz w:val="28"/>
          <w:szCs w:val="28"/>
        </w:rPr>
      </w:pPr>
      <w:r w:rsidRPr="009901A8">
        <w:rPr>
          <w:b/>
          <w:sz w:val="28"/>
          <w:szCs w:val="28"/>
        </w:rPr>
        <w:lastRenderedPageBreak/>
        <w:t>Szacowanie ryzyka zdrowotnego konsumentów</w:t>
      </w:r>
    </w:p>
    <w:p w:rsidR="00FE7D66" w:rsidRPr="00FE7D66" w:rsidRDefault="00FE7D66" w:rsidP="00FE7D66">
      <w:pPr>
        <w:spacing w:line="360" w:lineRule="auto"/>
        <w:jc w:val="both"/>
      </w:pPr>
    </w:p>
    <w:p w:rsidR="00FE7D66" w:rsidRPr="00FE7D66" w:rsidRDefault="00FE7D66" w:rsidP="00FE7D66">
      <w:pPr>
        <w:spacing w:line="360" w:lineRule="auto"/>
        <w:jc w:val="both"/>
      </w:pPr>
      <w:r w:rsidRPr="00FE7D66">
        <w:t>Pogorszenie jakości wody wodociągowej oraz ze stacji uzdatniania wody w 2018 r. miało charakter incydentalny i krótkotrwały. Ponadnormatywna wartość przekroczonych parametrów (żelazo, mętność, barwa, glin, twardość, chlorki, zapach) nie ma istotnego znaczenia pod wzgl</w:t>
      </w:r>
      <w:r w:rsidRPr="00FE7D66">
        <w:rPr>
          <w:rFonts w:eastAsia="TimesNewRoman"/>
        </w:rPr>
        <w:t>ę</w:t>
      </w:r>
      <w:r w:rsidRPr="00FE7D66">
        <w:t>dem bezpiecze</w:t>
      </w:r>
      <w:r w:rsidRPr="00FE7D66">
        <w:rPr>
          <w:rFonts w:eastAsia="TimesNewRoman"/>
        </w:rPr>
        <w:t>ń</w:t>
      </w:r>
      <w:r w:rsidRPr="00FE7D66">
        <w:t xml:space="preserve">stwa zdrowotnego, może natomiast wpłynąć na pogorszenie walorów konsumenckich powodując zmianę barwy, zapachu i smaku wody. </w:t>
      </w:r>
    </w:p>
    <w:p w:rsidR="00FE7D66" w:rsidRPr="00FE7D66" w:rsidRDefault="00FE7D66" w:rsidP="00FE7D66">
      <w:pPr>
        <w:spacing w:before="100" w:beforeAutospacing="1" w:after="100" w:afterAutospacing="1" w:line="360" w:lineRule="auto"/>
        <w:jc w:val="both"/>
      </w:pPr>
      <w:r w:rsidRPr="00FE7D66">
        <w:rPr>
          <w:u w:val="single"/>
        </w:rPr>
        <w:t>Żelazo</w:t>
      </w:r>
      <w:r w:rsidRPr="00FE7D66">
        <w:t xml:space="preserve"> – obecność w wodzie tlenu lub substancji utleniających powoduje, że zawarte w wodzie żelazo ulega łatwo utlenieniu, powodując zmętnienie lub brunatnienie wody. Woda zawierająca żelazo w ilościach powyżej 0,3 mg/l powoduje powstawanie plam na urządzeniach sanitarnych, na pranej bieliźnie, w czasie gotowania może zmienić swe cechy fizyczne i wpływać </w:t>
      </w:r>
      <w:r w:rsidRPr="00FE7D66">
        <w:br/>
        <w:t>na apetyczność potraw (posmak metaliczno- stęchło- mulisty zaczyna się pojawiać powyżej</w:t>
      </w:r>
      <w:r w:rsidRPr="00FE7D66">
        <w:br/>
        <w:t xml:space="preserve"> 0,3 mg żelaza w litrze wody). Obecność związków żelaza jest szczególnie niepożądana </w:t>
      </w:r>
      <w:r w:rsidRPr="00FE7D66">
        <w:br/>
        <w:t>w wodzie przeznaczonej dla niektórych gałęzi przemysłu. Jeżeli woda zawiera zwiększone ilości żelaza, w sieci wodociągowej mogą rozwijać się nitkowate bakterie żelaziste. Oprócz zmiany barwy i mętności nadają one wodzie przykry smak i zapach, a sieć wodociągowa traci stopniowo sprawność z powodu jej zatykania się masami żywych i obumierających bakterii.</w:t>
      </w:r>
    </w:p>
    <w:p w:rsidR="00FE7D66" w:rsidRPr="00FE7D66" w:rsidRDefault="00FE7D66" w:rsidP="00FE7D66">
      <w:pPr>
        <w:spacing w:before="100" w:beforeAutospacing="1" w:after="240" w:line="360" w:lineRule="auto"/>
        <w:jc w:val="both"/>
      </w:pPr>
      <w:r w:rsidRPr="00FE7D66">
        <w:rPr>
          <w:u w:val="single"/>
        </w:rPr>
        <w:t>Mętność </w:t>
      </w:r>
      <w:r w:rsidRPr="00FE7D66">
        <w:t>– jest wywoływana obecnością drobnych cząsteczek stałych, które mogą znajdować się w wodzie na skutek nieodpowiedniego uzdatniania lub z powodu unoszenia cząstek osadów pochodzących z sieci wodociągowej; może być również spowodowana obecnością nieorganicznych substancji stałych w niektórych wodach podziemnych. Woda o wysokiej mętności może chronić mikroorganizmy przed działaniem dezynfekcyjnym i może pobudzać wzrost bakterii. Dlatego zaleca się, aby mętność wody była utrzymywana na możliwie najniższym poziomie ze względu na jej znaczenie dla jakości wody pod względem mikrobiologicznym.</w:t>
      </w:r>
    </w:p>
    <w:p w:rsidR="00FE7D66" w:rsidRPr="00FE7D66" w:rsidRDefault="00FE7D66" w:rsidP="00FE7D66">
      <w:pPr>
        <w:spacing w:before="100" w:beforeAutospacing="1" w:after="100" w:afterAutospacing="1" w:line="360" w:lineRule="auto"/>
        <w:jc w:val="both"/>
      </w:pPr>
      <w:r w:rsidRPr="00FE7D66">
        <w:rPr>
          <w:u w:val="single"/>
        </w:rPr>
        <w:t>Barwa</w:t>
      </w:r>
      <w:r w:rsidRPr="00FE7D66">
        <w:t xml:space="preserve"> – woda chemicznie czysta nie ma barwy. W warunkach naturalnych w grubych warstwach przyjmuje odcień błękitu. Wody zanieczyszczone przyjmują zabarwienie </w:t>
      </w:r>
      <w:r w:rsidR="004638F0">
        <w:br/>
      </w:r>
      <w:r w:rsidRPr="00FE7D66">
        <w:t xml:space="preserve">w zależności od związków chemicznych w nich rozpuszczonych. Jest to najczęściej zabarwienie zielono-żółte. Barwa w znacznym stopniu zależy od zawartości żelaza i innych metali, może również być spowodowana zanieczyszczeniem wody przez ścieki przemysłowe </w:t>
      </w:r>
      <w:r w:rsidR="004638F0">
        <w:br/>
      </w:r>
      <w:r w:rsidRPr="00FE7D66">
        <w:t>i może być pierwszym wskaźnikiem zagrożenia.</w:t>
      </w:r>
    </w:p>
    <w:p w:rsidR="00FE7D66" w:rsidRPr="00FE7D66" w:rsidRDefault="00FE7D66" w:rsidP="00FE7D66">
      <w:pPr>
        <w:spacing w:before="100" w:beforeAutospacing="1" w:after="100" w:afterAutospacing="1" w:line="360" w:lineRule="auto"/>
        <w:jc w:val="both"/>
      </w:pPr>
      <w:r w:rsidRPr="00FE7D66">
        <w:rPr>
          <w:u w:val="single"/>
        </w:rPr>
        <w:lastRenderedPageBreak/>
        <w:t>Glin</w:t>
      </w:r>
      <w:r w:rsidRPr="00FE7D66">
        <w:t xml:space="preserve"> - wody powierzchniowe, gruntowe i głębinowe – w zależności od struktury geologicznej i rodzaju podłoża zawsze zawierają pewne ilości </w:t>
      </w:r>
      <w:proofErr w:type="spellStart"/>
      <w:r w:rsidRPr="00FE7D66">
        <w:t>glinu</w:t>
      </w:r>
      <w:proofErr w:type="spellEnd"/>
      <w:r w:rsidRPr="00FE7D66">
        <w:t xml:space="preserve">. Dodatkowym źródłem są ścieki przemysłowe, osady - wodociągowe (powstające w procesie uzdatniania wody pitnej) odprowadzane do rzek lub kanalizacji, skąd również mogą trafić do wód powierzchniowych. W wodzie do picia glin pojawia się najczęściej w wyniku jej niewłaściwego uzdatniania </w:t>
      </w:r>
      <w:r w:rsidR="004638F0">
        <w:br/>
      </w:r>
      <w:r w:rsidRPr="00FE7D66">
        <w:t xml:space="preserve">w procesie koagulacji przy użyciu związków </w:t>
      </w:r>
      <w:proofErr w:type="spellStart"/>
      <w:r w:rsidRPr="00FE7D66">
        <w:t>glinu</w:t>
      </w:r>
      <w:proofErr w:type="spellEnd"/>
      <w:r w:rsidRPr="00FE7D66">
        <w:t xml:space="preserve">, i to może stanowić główne zagrożenie dla organizmu człowieka. Glin nie należy do pierwiastków niezbędnych do funkcjonowania organizmu człowieka. Glin, który dostał się do organizmu człowieka przez przewód pokarmowy, ulega kumulacji w kościach, nie odkłada się natomiast w tkankach. Dlatego więc do niedawna zawartość </w:t>
      </w:r>
      <w:proofErr w:type="spellStart"/>
      <w:r w:rsidRPr="00FE7D66">
        <w:t>glinu</w:t>
      </w:r>
      <w:proofErr w:type="spellEnd"/>
      <w:r w:rsidRPr="00FE7D66">
        <w:t xml:space="preserve"> w wodzie pitnej była uważana za nieszkodliwą dla zdrowia. Obecnie uważa się, że glin należy do czynników wywołujących zaburzenia w strukturze </w:t>
      </w:r>
      <w:r w:rsidR="004638F0">
        <w:br/>
      </w:r>
      <w:r w:rsidRPr="00FE7D66">
        <w:t xml:space="preserve">i czynnościach komórek nerwowych, przede wszystkim mózgu. Przykładem jest właśnie choroba Alzheimera - degeneracyjne schorzenie niszczące komórki centralnego układu nerwowego, związane z występowaniem podwyższonych stężeń </w:t>
      </w:r>
      <w:proofErr w:type="spellStart"/>
      <w:r w:rsidRPr="00FE7D66">
        <w:t>glinu</w:t>
      </w:r>
      <w:proofErr w:type="spellEnd"/>
      <w:r w:rsidRPr="00FE7D66">
        <w:t xml:space="preserve"> w tkance nerwowej </w:t>
      </w:r>
      <w:r w:rsidR="004638F0">
        <w:br/>
      </w:r>
      <w:r w:rsidRPr="00FE7D66">
        <w:t>i płynach ustrojowych.</w:t>
      </w:r>
    </w:p>
    <w:p w:rsidR="00FE7D66" w:rsidRPr="00FE7D66" w:rsidRDefault="00FE7D66" w:rsidP="00FE7D66">
      <w:pPr>
        <w:spacing w:before="100" w:beforeAutospacing="1" w:after="100" w:afterAutospacing="1" w:line="360" w:lineRule="auto"/>
        <w:jc w:val="both"/>
      </w:pPr>
      <w:r w:rsidRPr="00FE7D66">
        <w:rPr>
          <w:u w:val="single"/>
        </w:rPr>
        <w:t>Smak, zapach </w:t>
      </w:r>
      <w:r w:rsidRPr="00FE7D66">
        <w:t>– są parametrami organoleptycznymi. Smak i zapach nadają wodzie rozpuszczone w niej związki nieorganiczne tj. sole, kwasy, gazy lub organiczne - najczęściej produkty metabolizmu organizmów żywych w wodzie w warunkach naturalnych. Mogą być również ubocznym skutkiem uzdatniania wody (np. chlorowania), a także powstawać w trakcie magazynowania i dystrybucji wody. Nietypowy smak lub zapach mogą być wskaźnikiem obecności potencjalnych szkodliwych substancji.</w:t>
      </w:r>
    </w:p>
    <w:p w:rsidR="00FE7D66" w:rsidRPr="00FE7D66" w:rsidRDefault="00FE7D66" w:rsidP="00FE7D66">
      <w:pPr>
        <w:spacing w:before="100" w:beforeAutospacing="1" w:after="100" w:afterAutospacing="1" w:line="360" w:lineRule="auto"/>
        <w:jc w:val="both"/>
      </w:pPr>
      <w:r w:rsidRPr="00FE7D66">
        <w:rPr>
          <w:u w:val="single"/>
          <w:shd w:val="clear" w:color="auto" w:fill="FFFFFF"/>
        </w:rPr>
        <w:t>Chlorki</w:t>
      </w:r>
      <w:r w:rsidRPr="00FE7D66">
        <w:rPr>
          <w:shd w:val="clear" w:color="auto" w:fill="FFFFFF"/>
        </w:rPr>
        <w:t xml:space="preserve"> w wodzie do spożycia pochodzą ze źródeł naturalnych, ścieków przemysłowych </w:t>
      </w:r>
      <w:r w:rsidR="004638F0">
        <w:rPr>
          <w:shd w:val="clear" w:color="auto" w:fill="FFFFFF"/>
        </w:rPr>
        <w:br/>
      </w:r>
      <w:r w:rsidRPr="00FE7D66">
        <w:rPr>
          <w:shd w:val="clear" w:color="auto" w:fill="FFFFFF"/>
        </w:rPr>
        <w:t xml:space="preserve">i bytowo-gospodarczych, miejskich ścieków opadowych zawierających sól stosowaną </w:t>
      </w:r>
      <w:r w:rsidR="004638F0">
        <w:rPr>
          <w:shd w:val="clear" w:color="auto" w:fill="FFFFFF"/>
        </w:rPr>
        <w:br/>
      </w:r>
      <w:r w:rsidRPr="00FE7D66">
        <w:rPr>
          <w:shd w:val="clear" w:color="auto" w:fill="FFFFFF"/>
        </w:rPr>
        <w:t xml:space="preserve">do odśnieżania, a także solanek. Głównym źródłem zagrożenia człowieka przez chlorki jest dodatek soli kuchennej do pożywienia. Nadmierne stężenia chlorków w wodzie do picia powodują przyspieszenie tempa korozji w sieci wodociągowej, co może doprowadzić </w:t>
      </w:r>
      <w:r w:rsidR="004638F0">
        <w:rPr>
          <w:shd w:val="clear" w:color="auto" w:fill="FFFFFF"/>
        </w:rPr>
        <w:br/>
      </w:r>
      <w:r w:rsidRPr="00FE7D66">
        <w:rPr>
          <w:shd w:val="clear" w:color="auto" w:fill="FFFFFF"/>
        </w:rPr>
        <w:t>do zwiększenia zawartości metali w dostarczanej wodzie.</w:t>
      </w:r>
    </w:p>
    <w:p w:rsidR="00FE7D66" w:rsidRPr="007F22B8" w:rsidRDefault="00FE7D66" w:rsidP="00FE7D66">
      <w:pPr>
        <w:shd w:val="clear" w:color="auto" w:fill="FFFFFF"/>
        <w:spacing w:after="210" w:line="360" w:lineRule="auto"/>
        <w:jc w:val="both"/>
        <w:textAlignment w:val="baseline"/>
      </w:pPr>
      <w:r w:rsidRPr="00FE7D66">
        <w:rPr>
          <w:u w:val="single"/>
        </w:rPr>
        <w:t>Twardość</w:t>
      </w:r>
      <w:r w:rsidRPr="00FE7D66">
        <w:t xml:space="preserve"> wody – </w:t>
      </w:r>
      <w:r w:rsidRPr="00FE7D66">
        <w:rPr>
          <w:shd w:val="clear" w:color="auto" w:fill="FFFFFF"/>
        </w:rPr>
        <w:t>cecha </w:t>
      </w:r>
      <w:hyperlink r:id="rId13" w:tooltip="Woda" w:history="1">
        <w:r w:rsidRPr="00FE7D66">
          <w:rPr>
            <w:shd w:val="clear" w:color="auto" w:fill="FFFFFF"/>
          </w:rPr>
          <w:t>wody</w:t>
        </w:r>
      </w:hyperlink>
      <w:r w:rsidRPr="00FE7D66">
        <w:rPr>
          <w:shd w:val="clear" w:color="auto" w:fill="FFFFFF"/>
        </w:rPr>
        <w:t xml:space="preserve"> będąca funkcją stężenia </w:t>
      </w:r>
      <w:hyperlink r:id="rId14" w:tooltip="Kation" w:history="1">
        <w:r w:rsidRPr="00FE7D66">
          <w:rPr>
            <w:shd w:val="clear" w:color="auto" w:fill="FFFFFF"/>
          </w:rPr>
          <w:t>kationów</w:t>
        </w:r>
      </w:hyperlink>
      <w:r w:rsidRPr="00FE7D66">
        <w:rPr>
          <w:shd w:val="clear" w:color="auto" w:fill="FFFFFF"/>
        </w:rPr>
        <w:t> </w:t>
      </w:r>
      <w:hyperlink r:id="rId15" w:tooltip="Wapń" w:history="1">
        <w:r w:rsidRPr="00FE7D66">
          <w:rPr>
            <w:shd w:val="clear" w:color="auto" w:fill="FFFFFF"/>
          </w:rPr>
          <w:t>wapnia</w:t>
        </w:r>
      </w:hyperlink>
      <w:r w:rsidRPr="00FE7D66">
        <w:rPr>
          <w:shd w:val="clear" w:color="auto" w:fill="FFFFFF"/>
        </w:rPr>
        <w:t> (Ca</w:t>
      </w:r>
      <w:r w:rsidRPr="00FE7D66">
        <w:rPr>
          <w:shd w:val="clear" w:color="auto" w:fill="FFFFFF"/>
          <w:vertAlign w:val="superscript"/>
        </w:rPr>
        <w:t>2+</w:t>
      </w:r>
      <w:r w:rsidRPr="00FE7D66">
        <w:rPr>
          <w:shd w:val="clear" w:color="auto" w:fill="FFFFFF"/>
        </w:rPr>
        <w:t>) i </w:t>
      </w:r>
      <w:hyperlink r:id="rId16" w:tooltip="Magnez" w:history="1">
        <w:r w:rsidRPr="00FE7D66">
          <w:rPr>
            <w:shd w:val="clear" w:color="auto" w:fill="FFFFFF"/>
          </w:rPr>
          <w:t>magnezu</w:t>
        </w:r>
      </w:hyperlink>
      <w:r w:rsidRPr="00FE7D66">
        <w:rPr>
          <w:shd w:val="clear" w:color="auto" w:fill="FFFFFF"/>
        </w:rPr>
        <w:t> (Mg</w:t>
      </w:r>
      <w:r w:rsidRPr="00FE7D66">
        <w:rPr>
          <w:shd w:val="clear" w:color="auto" w:fill="FFFFFF"/>
          <w:vertAlign w:val="superscript"/>
        </w:rPr>
        <w:t>2+</w:t>
      </w:r>
      <w:r w:rsidRPr="00FE7D66">
        <w:rPr>
          <w:shd w:val="clear" w:color="auto" w:fill="FFFFFF"/>
        </w:rPr>
        <w:t>) oraz opcjonalnie </w:t>
      </w:r>
      <w:hyperlink r:id="rId17" w:tooltip="Żelazo" w:history="1">
        <w:r w:rsidRPr="00FE7D66">
          <w:rPr>
            <w:shd w:val="clear" w:color="auto" w:fill="FFFFFF"/>
          </w:rPr>
          <w:t>żelaza</w:t>
        </w:r>
      </w:hyperlink>
      <w:r w:rsidRPr="00FE7D66">
        <w:rPr>
          <w:shd w:val="clear" w:color="auto" w:fill="FFFFFF"/>
        </w:rPr>
        <w:t>(II) (Fe</w:t>
      </w:r>
      <w:r w:rsidRPr="00FE7D66">
        <w:rPr>
          <w:shd w:val="clear" w:color="auto" w:fill="FFFFFF"/>
          <w:vertAlign w:val="superscript"/>
        </w:rPr>
        <w:t>2+</w:t>
      </w:r>
      <w:r w:rsidRPr="00FE7D66">
        <w:rPr>
          <w:shd w:val="clear" w:color="auto" w:fill="FFFFFF"/>
        </w:rPr>
        <w:t>) i </w:t>
      </w:r>
      <w:hyperlink r:id="rId18" w:tooltip="Mangan" w:history="1">
        <w:r w:rsidRPr="00FE7D66">
          <w:rPr>
            <w:shd w:val="clear" w:color="auto" w:fill="FFFFFF"/>
          </w:rPr>
          <w:t>manganu</w:t>
        </w:r>
      </w:hyperlink>
      <w:r w:rsidRPr="00FE7D66">
        <w:rPr>
          <w:shd w:val="clear" w:color="auto" w:fill="FFFFFF"/>
        </w:rPr>
        <w:t>(II) (Mn</w:t>
      </w:r>
      <w:r w:rsidRPr="00FE7D66">
        <w:rPr>
          <w:shd w:val="clear" w:color="auto" w:fill="FFFFFF"/>
          <w:vertAlign w:val="superscript"/>
        </w:rPr>
        <w:t>2+</w:t>
      </w:r>
      <w:r w:rsidRPr="00FE7D66">
        <w:rPr>
          <w:shd w:val="clear" w:color="auto" w:fill="FFFFFF"/>
        </w:rPr>
        <w:t>)</w:t>
      </w:r>
      <w:r w:rsidRPr="007F22B8">
        <w:t xml:space="preserve">. Podczas zatężania następuje ulatnianie się dwutlenku węgla i wytrącanie węglanu wapnia </w:t>
      </w:r>
      <w:r w:rsidRPr="00FE7D66">
        <w:t xml:space="preserve">czyli osadu </w:t>
      </w:r>
      <w:r w:rsidRPr="007F22B8">
        <w:t>znanego jako kamień kotłowy.</w:t>
      </w:r>
      <w:r w:rsidRPr="00FE7D66">
        <w:t xml:space="preserve"> </w:t>
      </w:r>
      <w:r w:rsidRPr="007F22B8">
        <w:t xml:space="preserve">Tworzy on brązową, białą lub szarą powłokę (niekiedy warstwę) </w:t>
      </w:r>
      <w:r w:rsidR="004638F0">
        <w:br/>
      </w:r>
      <w:r w:rsidRPr="007F22B8">
        <w:t xml:space="preserve">na powierzchniach wodnych technologii, powodując zarastanie wymienników ciepła, </w:t>
      </w:r>
      <w:r w:rsidRPr="007F22B8">
        <w:lastRenderedPageBreak/>
        <w:t>instalacji, zaworów oraz rurociągów. Wówczas skraca się okres funkcjonalności wymienionych elementów instalacji. Ich praca nie jest natomiast efektywna i przyczynia się do zwiększenia kosztów eksploatacji  i zużycia energii.</w:t>
      </w:r>
      <w:r w:rsidRPr="00FE7D66">
        <w:t xml:space="preserve"> </w:t>
      </w:r>
      <w:r w:rsidRPr="007F22B8">
        <w:t xml:space="preserve">Typowym zjawiskiem twardej wody – najbardziej widocznym dla </w:t>
      </w:r>
      <w:r w:rsidR="00FF3953">
        <w:t>konsumenta</w:t>
      </w:r>
      <w:r w:rsidRPr="007F22B8">
        <w:t xml:space="preserve"> jest biały osad-szron najczęściej widoczny na kabinie prysznicowej</w:t>
      </w:r>
      <w:r w:rsidRPr="00FE7D66">
        <w:t xml:space="preserve">, </w:t>
      </w:r>
      <w:r w:rsidRPr="007F22B8">
        <w:t xml:space="preserve"> kranach, wapienny nalot pojawia się również wewnątrz instalacji wewnętrznych wodnych oraz grzewczych w postaci „kamienia kotłowego”. Można go zaobserwować w</w:t>
      </w:r>
      <w:r w:rsidR="00CF7492">
        <w:t> </w:t>
      </w:r>
      <w:bookmarkStart w:id="3" w:name="_GoBack"/>
      <w:bookmarkEnd w:id="3"/>
      <w:r w:rsidRPr="007F22B8">
        <w:t>postaci białej, szarej lub brązowej powłoki. Pojawia się również w czajnikach, grzałkach urządzeń elektrycznych (pralki, zmywarki, piece i kotły do podgrzewu wody) oraz na ścianach przewodów instalacji wodnych.</w:t>
      </w:r>
      <w:r w:rsidRPr="00FE7D66">
        <w:t xml:space="preserve"> Kamień kotłowy p</w:t>
      </w:r>
      <w:r w:rsidRPr="007F22B8">
        <w:t xml:space="preserve">owoduje szereg zagrożeń. Zarastające instalacje będą sprzyjały rozwojowi </w:t>
      </w:r>
      <w:proofErr w:type="spellStart"/>
      <w:r w:rsidRPr="007F22B8">
        <w:t>biofilmu</w:t>
      </w:r>
      <w:proofErr w:type="spellEnd"/>
      <w:r w:rsidRPr="007F22B8">
        <w:t xml:space="preserve"> co może spowodować zakażenie instalacji bakteriami. Warstwa wapiennego osadu o grubości zaledwie 3 mm może spowodować straty energii sięgające nawet do około 30%.</w:t>
      </w:r>
    </w:p>
    <w:p w:rsidR="00FE7D66" w:rsidRPr="00FE7D66" w:rsidRDefault="00FE7D66"/>
    <w:sectPr w:rsidR="00FE7D66" w:rsidRPr="00FE7D66" w:rsidSect="007A2B99">
      <w:footerReference w:type="default" r:id="rId1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73" w:rsidRDefault="007C0173" w:rsidP="00151487">
      <w:r>
        <w:separator/>
      </w:r>
    </w:p>
  </w:endnote>
  <w:endnote w:type="continuationSeparator" w:id="0">
    <w:p w:rsidR="007C0173" w:rsidRDefault="007C0173" w:rsidP="001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5391"/>
      <w:docPartObj>
        <w:docPartGallery w:val="Page Numbers (Bottom of Page)"/>
        <w:docPartUnique/>
      </w:docPartObj>
    </w:sdtPr>
    <w:sdtEndPr/>
    <w:sdtContent>
      <w:p w:rsidR="007C0173" w:rsidRDefault="004014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3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0173" w:rsidRDefault="007C0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73" w:rsidRDefault="007C0173" w:rsidP="00151487">
      <w:r>
        <w:separator/>
      </w:r>
    </w:p>
  </w:footnote>
  <w:footnote w:type="continuationSeparator" w:id="0">
    <w:p w:rsidR="007C0173" w:rsidRDefault="007C0173" w:rsidP="0015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230"/>
    <w:multiLevelType w:val="hybridMultilevel"/>
    <w:tmpl w:val="3EFE14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B76AE8"/>
    <w:multiLevelType w:val="hybridMultilevel"/>
    <w:tmpl w:val="48CE7B2C"/>
    <w:lvl w:ilvl="0" w:tplc="BA5AB9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6C9"/>
    <w:multiLevelType w:val="hybridMultilevel"/>
    <w:tmpl w:val="DB46C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70E2"/>
    <w:multiLevelType w:val="hybridMultilevel"/>
    <w:tmpl w:val="FF1EC0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FD"/>
    <w:multiLevelType w:val="hybridMultilevel"/>
    <w:tmpl w:val="6F20B5B0"/>
    <w:lvl w:ilvl="0" w:tplc="A00434C4">
      <w:start w:val="1"/>
      <w:numFmt w:val="bullet"/>
      <w:lvlText w:val="−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803"/>
    <w:multiLevelType w:val="hybridMultilevel"/>
    <w:tmpl w:val="9CC8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2E6"/>
    <w:multiLevelType w:val="hybridMultilevel"/>
    <w:tmpl w:val="76BEF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3E31"/>
    <w:multiLevelType w:val="hybridMultilevel"/>
    <w:tmpl w:val="E41A5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4644"/>
    <w:multiLevelType w:val="hybridMultilevel"/>
    <w:tmpl w:val="AE46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1FBC"/>
    <w:multiLevelType w:val="hybridMultilevel"/>
    <w:tmpl w:val="354E4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AA0"/>
    <w:multiLevelType w:val="hybridMultilevel"/>
    <w:tmpl w:val="A0BA7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51"/>
    <w:rsid w:val="000060DB"/>
    <w:rsid w:val="00016862"/>
    <w:rsid w:val="000A18E6"/>
    <w:rsid w:val="000A6A14"/>
    <w:rsid w:val="000C4FEC"/>
    <w:rsid w:val="000D3477"/>
    <w:rsid w:val="000F2104"/>
    <w:rsid w:val="00112F1E"/>
    <w:rsid w:val="00114E4F"/>
    <w:rsid w:val="00151487"/>
    <w:rsid w:val="00167A7E"/>
    <w:rsid w:val="0019777D"/>
    <w:rsid w:val="001D565C"/>
    <w:rsid w:val="0023380F"/>
    <w:rsid w:val="00246F87"/>
    <w:rsid w:val="0025124C"/>
    <w:rsid w:val="00290FD1"/>
    <w:rsid w:val="00333C5D"/>
    <w:rsid w:val="00341814"/>
    <w:rsid w:val="00355A28"/>
    <w:rsid w:val="003A4B08"/>
    <w:rsid w:val="0040148E"/>
    <w:rsid w:val="00425E30"/>
    <w:rsid w:val="004277FF"/>
    <w:rsid w:val="004403E5"/>
    <w:rsid w:val="0044623B"/>
    <w:rsid w:val="0045113B"/>
    <w:rsid w:val="00457BAA"/>
    <w:rsid w:val="004638F0"/>
    <w:rsid w:val="00474895"/>
    <w:rsid w:val="004A6A4C"/>
    <w:rsid w:val="004C6739"/>
    <w:rsid w:val="004E2BAB"/>
    <w:rsid w:val="005A1EE1"/>
    <w:rsid w:val="005E3C34"/>
    <w:rsid w:val="005F41E5"/>
    <w:rsid w:val="00611B92"/>
    <w:rsid w:val="006412A8"/>
    <w:rsid w:val="0068091C"/>
    <w:rsid w:val="00681FB4"/>
    <w:rsid w:val="0068375B"/>
    <w:rsid w:val="00687A58"/>
    <w:rsid w:val="006B4833"/>
    <w:rsid w:val="006B6BE9"/>
    <w:rsid w:val="006C72C6"/>
    <w:rsid w:val="006F6EF3"/>
    <w:rsid w:val="007A2B99"/>
    <w:rsid w:val="007A5A8F"/>
    <w:rsid w:val="007C0173"/>
    <w:rsid w:val="007C1E59"/>
    <w:rsid w:val="007D6AB2"/>
    <w:rsid w:val="00801131"/>
    <w:rsid w:val="00803C7F"/>
    <w:rsid w:val="00822F1C"/>
    <w:rsid w:val="008707FF"/>
    <w:rsid w:val="008870BD"/>
    <w:rsid w:val="00894862"/>
    <w:rsid w:val="008D1E1E"/>
    <w:rsid w:val="009101DF"/>
    <w:rsid w:val="00910992"/>
    <w:rsid w:val="009119E5"/>
    <w:rsid w:val="0091591B"/>
    <w:rsid w:val="00933EC7"/>
    <w:rsid w:val="009564A8"/>
    <w:rsid w:val="0099303F"/>
    <w:rsid w:val="009E6595"/>
    <w:rsid w:val="009F4CFD"/>
    <w:rsid w:val="00A062F0"/>
    <w:rsid w:val="00A128C4"/>
    <w:rsid w:val="00A2252D"/>
    <w:rsid w:val="00A40252"/>
    <w:rsid w:val="00A52C36"/>
    <w:rsid w:val="00A764F6"/>
    <w:rsid w:val="00A82F27"/>
    <w:rsid w:val="00AB0C1E"/>
    <w:rsid w:val="00AC2E61"/>
    <w:rsid w:val="00B060CF"/>
    <w:rsid w:val="00B16BD2"/>
    <w:rsid w:val="00B82BE7"/>
    <w:rsid w:val="00B91D5F"/>
    <w:rsid w:val="00B931FD"/>
    <w:rsid w:val="00B95102"/>
    <w:rsid w:val="00BA1269"/>
    <w:rsid w:val="00BC31C8"/>
    <w:rsid w:val="00C061FD"/>
    <w:rsid w:val="00C42FFC"/>
    <w:rsid w:val="00C72DDA"/>
    <w:rsid w:val="00C8691F"/>
    <w:rsid w:val="00C87A11"/>
    <w:rsid w:val="00C92DC1"/>
    <w:rsid w:val="00CA575A"/>
    <w:rsid w:val="00CB7F48"/>
    <w:rsid w:val="00CE4969"/>
    <w:rsid w:val="00CF0304"/>
    <w:rsid w:val="00CF7492"/>
    <w:rsid w:val="00D01590"/>
    <w:rsid w:val="00D043A2"/>
    <w:rsid w:val="00D10849"/>
    <w:rsid w:val="00D71B9D"/>
    <w:rsid w:val="00DA0360"/>
    <w:rsid w:val="00DB20D4"/>
    <w:rsid w:val="00DC3547"/>
    <w:rsid w:val="00E00D2B"/>
    <w:rsid w:val="00E10EDA"/>
    <w:rsid w:val="00E44B84"/>
    <w:rsid w:val="00E473BC"/>
    <w:rsid w:val="00E631EF"/>
    <w:rsid w:val="00E951E2"/>
    <w:rsid w:val="00EA2131"/>
    <w:rsid w:val="00EA6216"/>
    <w:rsid w:val="00EC2488"/>
    <w:rsid w:val="00EC26DA"/>
    <w:rsid w:val="00EC35E4"/>
    <w:rsid w:val="00EF3F39"/>
    <w:rsid w:val="00F677BC"/>
    <w:rsid w:val="00F82951"/>
    <w:rsid w:val="00F86B8A"/>
    <w:rsid w:val="00F907A2"/>
    <w:rsid w:val="00FA5D19"/>
    <w:rsid w:val="00FE686F"/>
    <w:rsid w:val="00FE7D66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7E1D"/>
  <w15:docId w15:val="{0FFC942A-4497-4FE6-89C7-BB29BE8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6B6BE9"/>
  </w:style>
  <w:style w:type="paragraph" w:styleId="Legenda">
    <w:name w:val="caption"/>
    <w:basedOn w:val="Normalny"/>
    <w:next w:val="Normalny"/>
    <w:uiPriority w:val="35"/>
    <w:unhideWhenUsed/>
    <w:qFormat/>
    <w:rsid w:val="0068091C"/>
    <w:pPr>
      <w:spacing w:after="200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B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1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E"/>
    <w:rPr>
      <w:rFonts w:ascii="Arial" w:eastAsia="SimSun" w:hAnsi="Arial" w:cs="Arial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151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4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1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48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Woda" TargetMode="External"/><Relationship Id="rId18" Type="http://schemas.openxmlformats.org/officeDocument/2006/relationships/hyperlink" Target="https://pl.wikipedia.org/wiki/Mang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pl.wikipedia.org/wiki/%C5%BBelaz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Magne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Wap%C5%84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pl.wikipedia.org/wiki/Ka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79A-46D4-98AE-EDBFE6A56F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79A-46D4-98AE-EDBFE6A56F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79A-46D4-98AE-EDBFE6A56F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79A-46D4-98AE-EDBFE6A56F0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'Ilość pobranych próbek'!$A$2:$A$5</c:f>
              <c:strCache>
                <c:ptCount val="4"/>
                <c:pt idx="0">
                  <c:v>zakres badań jak dla monitoringu kontrolnego</c:v>
                </c:pt>
                <c:pt idx="1">
                  <c:v>zakres badań jak dla monitoringu przeglądowego</c:v>
                </c:pt>
                <c:pt idx="2">
                  <c:v>Legionella sp.</c:v>
                </c:pt>
                <c:pt idx="3">
                  <c:v>inne nadzorowane</c:v>
                </c:pt>
              </c:strCache>
            </c:strRef>
          </c:cat>
          <c:val>
            <c:numRef>
              <c:f>'Ilość pobranych próbek'!$B$2:$B$5</c:f>
              <c:numCache>
                <c:formatCode>General</c:formatCode>
                <c:ptCount val="4"/>
                <c:pt idx="0">
                  <c:v>258</c:v>
                </c:pt>
                <c:pt idx="1">
                  <c:v>55</c:v>
                </c:pt>
                <c:pt idx="2">
                  <c:v>107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9A-46D4-98AE-EDBFE6A56F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 w="3175">
          <a:solidFill>
            <a:schemeClr val="bg1">
              <a:lumMod val="9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solidFill>
            <a:schemeClr val="bg1">
              <a:lumMod val="95000"/>
            </a:schemeClr>
          </a:solidFill>
        </a:ln>
        <a:effectLst/>
        <a:sp3d>
          <a:contourClr>
            <a:schemeClr val="bg1">
              <a:lumMod val="95000"/>
            </a:schemeClr>
          </a:contourClr>
        </a:sp3d>
      </c:spPr>
    </c:floor>
    <c:sideWall>
      <c:thickness val="0"/>
      <c:spPr>
        <a:noFill/>
        <a:ln>
          <a:solidFill>
            <a:schemeClr val="bg1">
              <a:lumMod val="95000"/>
            </a:schemeClr>
          </a:solidFill>
        </a:ln>
        <a:effectLst/>
        <a:sp3d>
          <a:contourClr>
            <a:schemeClr val="bg1">
              <a:lumMod val="9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95000"/>
            </a:schemeClr>
          </a:solidFill>
        </a:ln>
        <a:effectLst/>
        <a:sp3d>
          <a:contourClr>
            <a:schemeClr val="bg1">
              <a:lumMod val="9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7.9247594050743664E-2"/>
          <c:y val="6.0185185185185182E-2"/>
          <c:w val="0.89019685039370078"/>
          <c:h val="0.888538444413198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9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5A05-4574-839C-FEAF11B529A9}"/>
              </c:ext>
            </c:extLst>
          </c:dPt>
          <c:dPt>
            <c:idx val="1"/>
            <c:invertIfNegative val="0"/>
            <c:bubble3D val="0"/>
            <c:spPr>
              <a:solidFill>
                <a:srgbClr val="008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A05-4574-839C-FEAF11B529A9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A05-4574-839C-FEAF11B529A9}"/>
              </c:ext>
            </c:extLst>
          </c:dPt>
          <c:dPt>
            <c:idx val="3"/>
            <c:invertIfNegative val="0"/>
            <c:bubble3D val="0"/>
            <c:spPr>
              <a:solidFill>
                <a:srgbClr val="FF33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A05-4574-839C-FEAF11B529A9}"/>
              </c:ext>
            </c:extLst>
          </c:dPt>
          <c:dPt>
            <c:idx val="4"/>
            <c:invertIfNegative val="0"/>
            <c:bubble3D val="0"/>
            <c:spPr>
              <a:solidFill>
                <a:srgbClr val="66FFFF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A05-4574-839C-FEAF11B529A9}"/>
              </c:ext>
            </c:extLst>
          </c:dPt>
          <c:dPt>
            <c:idx val="5"/>
            <c:invertIfNegative val="0"/>
            <c:bubble3D val="0"/>
            <c:spPr>
              <a:solidFill>
                <a:srgbClr val="4D5B8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A05-4574-839C-FEAF11B529A9}"/>
              </c:ext>
            </c:extLst>
          </c:dPt>
          <c:dLbls>
            <c:dLbl>
              <c:idx val="0"/>
              <c:layout>
                <c:manualLayout>
                  <c:x val="2.0110278271290857E-2"/>
                  <c:y val="-6.506696428571429E-2"/>
                </c:manualLayout>
              </c:layout>
              <c:spPr>
                <a:noFill/>
                <a:ln w="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1099243435692E-2"/>
                      <c:h val="7.88877952755905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5A05-4574-839C-FEAF11B529A9}"/>
                </c:ext>
              </c:extLst>
            </c:dLbl>
            <c:dLbl>
              <c:idx val="1"/>
              <c:layout>
                <c:manualLayout>
                  <c:x val="3.1787440121386658E-2"/>
                  <c:y val="-8.169013053055868E-2"/>
                </c:manualLayout>
              </c:layout>
              <c:spPr>
                <a:noFill/>
                <a:ln w="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785491766800178E-2"/>
                      <c:h val="6.40068428946381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A05-4574-839C-FEAF11B529A9}"/>
                </c:ext>
              </c:extLst>
            </c:dLbl>
            <c:dLbl>
              <c:idx val="2"/>
              <c:layout>
                <c:manualLayout>
                  <c:x val="2.1084893593908239E-2"/>
                  <c:y val="-7.3665987064117117E-2"/>
                </c:manualLayout>
              </c:layout>
              <c:spPr>
                <a:noFill/>
                <a:ln w="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932400932400935E-2"/>
                      <c:h val="6.47123246284861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A05-4574-839C-FEAF11B529A9}"/>
                </c:ext>
              </c:extLst>
            </c:dLbl>
            <c:dLbl>
              <c:idx val="3"/>
              <c:layout>
                <c:manualLayout>
                  <c:x val="1.8224824700650656E-2"/>
                  <c:y val="-7.6109626921634796E-2"/>
                </c:manualLayout>
              </c:layout>
              <c:spPr>
                <a:noFill/>
                <a:ln w="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983978638184243E-2"/>
                      <c:h val="8.26080333708286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A05-4574-839C-FEAF11B529A9}"/>
                </c:ext>
              </c:extLst>
            </c:dLbl>
            <c:dLbl>
              <c:idx val="4"/>
              <c:layout>
                <c:manualLayout>
                  <c:x val="1.8542220773805143E-2"/>
                  <c:y val="-7.8215808961379821E-2"/>
                </c:manualLayout>
              </c:layout>
              <c:spPr>
                <a:noFill/>
                <a:ln w="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144556696768039E-2"/>
                      <c:h val="7.2087961661042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A05-4574-839C-FEAF11B529A9}"/>
                </c:ext>
              </c:extLst>
            </c:dLbl>
            <c:dLbl>
              <c:idx val="5"/>
              <c:layout>
                <c:manualLayout>
                  <c:x val="1.6317016317016316E-2"/>
                  <c:y val="-2.3980815347721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05-4574-839C-FEAF11B529A9}"/>
                </c:ext>
              </c:extLst>
            </c:dLbl>
            <c:spPr>
              <a:noFill/>
              <a:ln w="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MK!$A$7:$A$12</c:f>
              <c:strCache>
                <c:ptCount val="6"/>
                <c:pt idx="0">
                  <c:v>mętność</c:v>
                </c:pt>
                <c:pt idx="1">
                  <c:v>żelazo</c:v>
                </c:pt>
                <c:pt idx="2">
                  <c:v>żelazo + mętność</c:v>
                </c:pt>
                <c:pt idx="3">
                  <c:v>żelazo + mętność + barwa</c:v>
                </c:pt>
                <c:pt idx="4">
                  <c:v>glin</c:v>
                </c:pt>
                <c:pt idx="5">
                  <c:v>Liczba próbek pobranych do badań fizykochemicznych</c:v>
                </c:pt>
              </c:strCache>
            </c:strRef>
          </c:cat>
          <c:val>
            <c:numRef>
              <c:f>MK!$B$7:$B$12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A05-4574-839C-FEAF11B52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189032"/>
        <c:axId val="479189360"/>
        <c:axId val="0"/>
      </c:bar3DChart>
      <c:catAx>
        <c:axId val="479189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9189360"/>
        <c:crosses val="autoZero"/>
        <c:auto val="1"/>
        <c:lblAlgn val="ctr"/>
        <c:lblOffset val="100"/>
        <c:noMultiLvlLbl val="0"/>
      </c:catAx>
      <c:valAx>
        <c:axId val="479189360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189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862441260263029"/>
          <c:y val="0.14980168494563179"/>
          <c:w val="0.62646274984857664"/>
          <c:h val="0.29166873877607402"/>
        </c:manualLayout>
      </c:layout>
      <c:overlay val="0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30004107576739E-2"/>
          <c:y val="2.6533911521929323E-2"/>
          <c:w val="0.92270306397376722"/>
          <c:h val="0.781723154170946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MP!$B$1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808080"/>
              </a:solidFill>
            </c:spPr>
            <c:extLst>
              <c:ext xmlns:c16="http://schemas.microsoft.com/office/drawing/2014/chart" uri="{C3380CC4-5D6E-409C-BE32-E72D297353CC}">
                <c16:uniqueId val="{00000000-EDA4-401F-8926-E0FF2FE6BA62}"/>
              </c:ext>
            </c:extLst>
          </c:dPt>
          <c:dPt>
            <c:idx val="1"/>
            <c:invertIfNegative val="0"/>
            <c:bubble3D val="0"/>
            <c:spPr>
              <a:solidFill>
                <a:srgbClr val="FF6699"/>
              </a:solidFill>
            </c:spPr>
            <c:extLst>
              <c:ext xmlns:c16="http://schemas.microsoft.com/office/drawing/2014/chart" uri="{C3380CC4-5D6E-409C-BE32-E72D297353CC}">
                <c16:uniqueId val="{00000001-EDA4-401F-8926-E0FF2FE6BA62}"/>
              </c:ext>
            </c:extLst>
          </c:dPt>
          <c:dLbls>
            <c:dLbl>
              <c:idx val="0"/>
              <c:layout>
                <c:manualLayout>
                  <c:x val="3.0555555555555555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A4-401F-8926-E0FF2FE6BA62}"/>
                </c:ext>
              </c:extLst>
            </c:dLbl>
            <c:dLbl>
              <c:idx val="1"/>
              <c:layout>
                <c:manualLayout>
                  <c:x val="0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A4-401F-8926-E0FF2FE6BA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MP!$A$2:$A$3</c:f>
              <c:strCache>
                <c:ptCount val="2"/>
                <c:pt idx="0">
                  <c:v>mętność</c:v>
                </c:pt>
                <c:pt idx="1">
                  <c:v>Liczba próbek pobranych do badań fizykochemicznych</c:v>
                </c:pt>
              </c:strCache>
            </c:strRef>
          </c:cat>
          <c:val>
            <c:numRef>
              <c:f>MP!$B$2:$B$3</c:f>
              <c:numCache>
                <c:formatCode>General</c:formatCode>
                <c:ptCount val="2"/>
                <c:pt idx="0">
                  <c:v>1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4-401F-8926-E0FF2FE6B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980416"/>
        <c:axId val="60023168"/>
        <c:axId val="0"/>
      </c:bar3DChart>
      <c:catAx>
        <c:axId val="5998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60023168"/>
        <c:crosses val="autoZero"/>
        <c:auto val="1"/>
        <c:lblAlgn val="ctr"/>
        <c:lblOffset val="100"/>
        <c:noMultiLvlLbl val="0"/>
      </c:catAx>
      <c:valAx>
        <c:axId val="6002316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pl-PL"/>
          </a:p>
        </c:txPr>
        <c:crossAx val="59980416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3333333333368E-2"/>
          <c:y val="7.8686570428696423E-2"/>
          <c:w val="0.81388888888888944"/>
          <c:h val="0.67569116360455084"/>
        </c:manualLayout>
      </c:layout>
      <c:pie3DChart>
        <c:varyColors val="1"/>
        <c:ser>
          <c:idx val="0"/>
          <c:order val="0"/>
          <c:tx>
            <c:strRef>
              <c:f>Legionella!$B$1</c:f>
              <c:strCache>
                <c:ptCount val="1"/>
                <c:pt idx="0">
                  <c:v>Stopień zanieczyszczenia instalacji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6F-4544-B917-C6B3E3E2F922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6F-4544-B917-C6B3E3E2F9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6F-4544-B917-C6B3E3E2F922}"/>
              </c:ext>
            </c:extLst>
          </c:dPt>
          <c:dPt>
            <c:idx val="3"/>
            <c:bubble3D val="0"/>
            <c:spPr>
              <a:solidFill>
                <a:srgbClr val="FF9900"/>
              </a:solidFill>
            </c:spPr>
            <c:extLst>
              <c:ext xmlns:c16="http://schemas.microsoft.com/office/drawing/2014/chart" uri="{C3380CC4-5D6E-409C-BE32-E72D297353CC}">
                <c16:uniqueId val="{00000007-1D6F-4544-B917-C6B3E3E2F9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Legionella!$A$2:$A$5</c:f>
              <c:strCache>
                <c:ptCount val="4"/>
                <c:pt idx="0">
                  <c:v>bardzo wysokie</c:v>
                </c:pt>
                <c:pt idx="1">
                  <c:v>wysokie</c:v>
                </c:pt>
                <c:pt idx="2">
                  <c:v>średnie</c:v>
                </c:pt>
                <c:pt idx="3">
                  <c:v>brak/znikome</c:v>
                </c:pt>
              </c:strCache>
            </c:strRef>
          </c:cat>
          <c:val>
            <c:numRef>
              <c:f>Legionella!$B$2:$B$5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6F-4544-B917-C6B3E3E2F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94147953728009"/>
          <c:y val="0.8299973439119892"/>
          <c:w val="0.67134438056354062"/>
          <c:h val="7.8598956414452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5DD2-F1D9-4DD3-8CA5-9325C81F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Patro</cp:lastModifiedBy>
  <cp:revision>3</cp:revision>
  <cp:lastPrinted>2019-02-28T09:39:00Z</cp:lastPrinted>
  <dcterms:created xsi:type="dcterms:W3CDTF">2019-03-18T12:46:00Z</dcterms:created>
  <dcterms:modified xsi:type="dcterms:W3CDTF">2019-03-20T09:00:00Z</dcterms:modified>
</cp:coreProperties>
</file>